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C3011B"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2E0E24AD"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6FA1DFB4"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300FFAF2" w14:textId="77777777" w:rsidR="008A754D" w:rsidRDefault="008A754D" w:rsidP="008A754D">
      <w:pPr>
        <w:widowControl/>
        <w:spacing w:line="430" w:lineRule="atLeast"/>
        <w:ind w:right="462"/>
        <w:jc w:val="center"/>
        <w:rPr>
          <w:rFonts w:ascii="方正小标宋简体" w:eastAsia="方正小标宋简体" w:hAnsi="方正小标宋简体" w:cs="方正小标宋简体"/>
          <w:color w:val="000000" w:themeColor="text1"/>
          <w:spacing w:val="-11"/>
          <w:kern w:val="0"/>
          <w:sz w:val="48"/>
          <w:szCs w:val="48"/>
        </w:rPr>
      </w:pPr>
      <w:r>
        <w:rPr>
          <w:rFonts w:ascii="方正小标宋简体" w:eastAsia="方正小标宋简体" w:hAnsi="方正小标宋简体" w:cs="方正小标宋简体" w:hint="eastAsia"/>
          <w:color w:val="000000" w:themeColor="text1"/>
          <w:spacing w:val="-11"/>
          <w:kern w:val="0"/>
          <w:sz w:val="48"/>
          <w:szCs w:val="48"/>
        </w:rPr>
        <w:t>2020年度部门整体支出</w:t>
      </w:r>
    </w:p>
    <w:p w14:paraId="701AE7CF" w14:textId="77777777" w:rsidR="008A754D" w:rsidRDefault="008A754D" w:rsidP="008A754D">
      <w:pPr>
        <w:widowControl/>
        <w:spacing w:line="430" w:lineRule="atLeast"/>
        <w:ind w:right="462"/>
        <w:jc w:val="center"/>
        <w:rPr>
          <w:rFonts w:ascii="方正小标宋简体" w:eastAsia="方正小标宋简体" w:hAnsi="方正小标宋简体" w:cs="方正小标宋简体"/>
          <w:color w:val="000000" w:themeColor="text1"/>
          <w:spacing w:val="-11"/>
          <w:kern w:val="0"/>
          <w:sz w:val="48"/>
          <w:szCs w:val="48"/>
        </w:rPr>
      </w:pPr>
      <w:r>
        <w:rPr>
          <w:rFonts w:ascii="方正小标宋简体" w:eastAsia="方正小标宋简体" w:hAnsi="方正小标宋简体" w:cs="方正小标宋简体" w:hint="eastAsia"/>
          <w:color w:val="000000" w:themeColor="text1"/>
          <w:spacing w:val="-11"/>
          <w:kern w:val="0"/>
          <w:sz w:val="48"/>
          <w:szCs w:val="48"/>
        </w:rPr>
        <w:t>绩效自评报告</w:t>
      </w:r>
    </w:p>
    <w:p w14:paraId="533BDE7E" w14:textId="77777777" w:rsidR="008A754D" w:rsidRDefault="008A754D" w:rsidP="008A754D">
      <w:pPr>
        <w:widowControl/>
        <w:spacing w:line="430" w:lineRule="atLeast"/>
        <w:ind w:right="462"/>
        <w:jc w:val="center"/>
        <w:rPr>
          <w:rFonts w:ascii="黑体" w:eastAsia="黑体" w:hAnsi="黑体" w:cs="宋体"/>
          <w:b/>
          <w:bCs/>
          <w:color w:val="000000" w:themeColor="text1"/>
          <w:spacing w:val="-11"/>
          <w:kern w:val="0"/>
          <w:sz w:val="32"/>
        </w:rPr>
      </w:pPr>
    </w:p>
    <w:p w14:paraId="3AD37000"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5C7C7CE0"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2ECF8527"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6A33F298"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65EEB1B8"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1124CD64"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4BE83E3C"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27A85386"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7F98F958"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2AA2919E"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39B91C90"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7418AB13" w14:textId="77777777" w:rsidR="008A754D" w:rsidRPr="008A754D" w:rsidRDefault="008A754D" w:rsidP="008A754D">
      <w:pPr>
        <w:widowControl/>
        <w:spacing w:line="430" w:lineRule="atLeast"/>
        <w:ind w:right="462"/>
        <w:jc w:val="center"/>
        <w:rPr>
          <w:rFonts w:ascii="仿宋_GB2312" w:eastAsia="仿宋_GB2312" w:hAnsi="仿宋_GB2312" w:cs="仿宋_GB2312"/>
          <w:color w:val="000000" w:themeColor="text1"/>
          <w:spacing w:val="-11"/>
          <w:kern w:val="0"/>
          <w:sz w:val="36"/>
        </w:rPr>
      </w:pPr>
      <w:r w:rsidRPr="008A754D">
        <w:rPr>
          <w:rFonts w:ascii="仿宋_GB2312" w:eastAsia="仿宋_GB2312" w:hAnsi="仿宋_GB2312" w:cs="仿宋_GB2312" w:hint="eastAsia"/>
          <w:color w:val="000000" w:themeColor="text1"/>
          <w:spacing w:val="-11"/>
          <w:kern w:val="0"/>
          <w:sz w:val="36"/>
        </w:rPr>
        <w:t>张家界市发展和改革委员会</w:t>
      </w:r>
    </w:p>
    <w:p w14:paraId="6F67E451" w14:textId="77777777" w:rsidR="008A754D" w:rsidRP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7FAEE8B7"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7422A6E5" w14:textId="77777777" w:rsidR="008A754D" w:rsidRDefault="008A754D" w:rsidP="008A754D">
      <w:pPr>
        <w:widowControl/>
        <w:spacing w:line="430" w:lineRule="atLeast"/>
        <w:ind w:right="462"/>
        <w:jc w:val="center"/>
        <w:rPr>
          <w:rFonts w:ascii="方正小标宋简体" w:eastAsia="仿宋" w:hAnsi="宋体" w:cs="宋体"/>
          <w:b/>
          <w:bCs/>
          <w:color w:val="000000" w:themeColor="text1"/>
          <w:spacing w:val="-11"/>
          <w:kern w:val="0"/>
          <w:sz w:val="32"/>
        </w:rPr>
      </w:pPr>
    </w:p>
    <w:p w14:paraId="14D8A675" w14:textId="77777777" w:rsidR="008D68C9" w:rsidRDefault="008D68C9">
      <w:pPr>
        <w:adjustRightInd w:val="0"/>
        <w:spacing w:line="640" w:lineRule="exact"/>
        <w:rPr>
          <w:rFonts w:eastAsia="方正小标宋简体"/>
          <w:sz w:val="44"/>
          <w:szCs w:val="44"/>
        </w:rPr>
      </w:pPr>
    </w:p>
    <w:p w14:paraId="5676A58D" w14:textId="77777777" w:rsidR="008D68C9" w:rsidRDefault="00000000">
      <w:pPr>
        <w:adjustRightInd w:val="0"/>
        <w:spacing w:line="640" w:lineRule="exact"/>
        <w:jc w:val="center"/>
        <w:rPr>
          <w:rFonts w:eastAsia="方正小标宋简体"/>
          <w:sz w:val="44"/>
          <w:szCs w:val="44"/>
        </w:rPr>
      </w:pPr>
      <w:r>
        <w:rPr>
          <w:rFonts w:eastAsia="方正小标宋简体" w:hint="eastAsia"/>
          <w:sz w:val="44"/>
          <w:szCs w:val="44"/>
        </w:rPr>
        <w:t>张家界市发展和改革委员会</w:t>
      </w:r>
    </w:p>
    <w:p w14:paraId="20BA0444" w14:textId="77777777" w:rsidR="008D68C9" w:rsidRDefault="00000000">
      <w:pPr>
        <w:adjustRightInd w:val="0"/>
        <w:spacing w:line="640" w:lineRule="exact"/>
        <w:jc w:val="center"/>
        <w:rPr>
          <w:rFonts w:eastAsia="方正小标宋简体"/>
          <w:sz w:val="44"/>
          <w:szCs w:val="44"/>
        </w:rPr>
      </w:pPr>
      <w:r>
        <w:rPr>
          <w:rFonts w:eastAsia="方正小标宋简体"/>
          <w:sz w:val="44"/>
          <w:szCs w:val="44"/>
        </w:rPr>
        <w:t>20</w:t>
      </w:r>
      <w:r>
        <w:rPr>
          <w:rFonts w:eastAsia="方正小标宋简体" w:hint="eastAsia"/>
          <w:sz w:val="44"/>
          <w:szCs w:val="44"/>
        </w:rPr>
        <w:t>20</w:t>
      </w:r>
      <w:r>
        <w:rPr>
          <w:rFonts w:eastAsia="方正小标宋简体" w:hint="eastAsia"/>
          <w:sz w:val="44"/>
          <w:szCs w:val="44"/>
        </w:rPr>
        <w:t>年度部门整体支出绩效自评报告</w:t>
      </w:r>
    </w:p>
    <w:p w14:paraId="1B4269B7" w14:textId="77777777" w:rsidR="008D68C9" w:rsidRDefault="008D68C9">
      <w:pPr>
        <w:adjustRightInd w:val="0"/>
        <w:spacing w:line="640" w:lineRule="exact"/>
        <w:ind w:firstLineChars="200" w:firstLine="643"/>
        <w:rPr>
          <w:rFonts w:eastAsia="仿宋_GB2312"/>
          <w:b/>
          <w:sz w:val="32"/>
          <w:szCs w:val="32"/>
        </w:rPr>
      </w:pPr>
    </w:p>
    <w:p w14:paraId="5DDE501E" w14:textId="77777777" w:rsidR="008D68C9" w:rsidRDefault="00000000">
      <w:pPr>
        <w:spacing w:line="640" w:lineRule="exact"/>
        <w:ind w:firstLineChars="200" w:firstLine="640"/>
        <w:rPr>
          <w:rFonts w:eastAsia="仿宋_GB2312"/>
          <w:bCs/>
          <w:sz w:val="32"/>
          <w:szCs w:val="32"/>
        </w:rPr>
      </w:pPr>
      <w:r>
        <w:rPr>
          <w:rFonts w:eastAsia="仿宋_GB2312" w:hint="eastAsia"/>
          <w:bCs/>
          <w:sz w:val="32"/>
          <w:szCs w:val="32"/>
        </w:rPr>
        <w:t>为规范财政资金管理，提高财政资金使用效益，根据《中华人民共和国预算法》和《张家界市财政局关于开展</w:t>
      </w:r>
      <w:r>
        <w:rPr>
          <w:rFonts w:eastAsia="仿宋_GB2312" w:hint="eastAsia"/>
          <w:bCs/>
          <w:sz w:val="32"/>
          <w:szCs w:val="32"/>
        </w:rPr>
        <w:t>2020</w:t>
      </w:r>
      <w:r>
        <w:rPr>
          <w:rFonts w:eastAsia="仿宋_GB2312" w:hint="eastAsia"/>
          <w:bCs/>
          <w:sz w:val="32"/>
          <w:szCs w:val="32"/>
        </w:rPr>
        <w:t>年度市级财政资金绩效自评工作的通知》（</w:t>
      </w:r>
      <w:proofErr w:type="gramStart"/>
      <w:r>
        <w:rPr>
          <w:rFonts w:eastAsia="仿宋_GB2312" w:hint="eastAsia"/>
          <w:bCs/>
          <w:sz w:val="32"/>
          <w:szCs w:val="32"/>
        </w:rPr>
        <w:t>张财绩〔</w:t>
      </w:r>
      <w:r>
        <w:rPr>
          <w:rFonts w:eastAsia="仿宋_GB2312"/>
          <w:bCs/>
          <w:sz w:val="32"/>
          <w:szCs w:val="32"/>
        </w:rPr>
        <w:t>20</w:t>
      </w:r>
      <w:r>
        <w:rPr>
          <w:rFonts w:eastAsia="仿宋_GB2312" w:hint="eastAsia"/>
          <w:bCs/>
          <w:sz w:val="32"/>
          <w:szCs w:val="32"/>
        </w:rPr>
        <w:t>21</w:t>
      </w:r>
      <w:r>
        <w:rPr>
          <w:rFonts w:eastAsia="仿宋_GB2312" w:hint="eastAsia"/>
          <w:bCs/>
          <w:sz w:val="32"/>
          <w:szCs w:val="32"/>
        </w:rPr>
        <w:t>〕</w:t>
      </w:r>
      <w:proofErr w:type="gramEnd"/>
      <w:r>
        <w:rPr>
          <w:rFonts w:eastAsia="仿宋_GB2312" w:hint="eastAsia"/>
          <w:bCs/>
          <w:sz w:val="32"/>
          <w:szCs w:val="32"/>
        </w:rPr>
        <w:t>1</w:t>
      </w:r>
      <w:r>
        <w:rPr>
          <w:rFonts w:eastAsia="仿宋_GB2312" w:hint="eastAsia"/>
          <w:bCs/>
          <w:sz w:val="32"/>
          <w:szCs w:val="32"/>
        </w:rPr>
        <w:t>号）等法规和文件要求，结合单位实际，现将我委</w:t>
      </w:r>
      <w:r>
        <w:rPr>
          <w:rFonts w:eastAsia="仿宋_GB2312" w:hint="eastAsia"/>
          <w:bCs/>
          <w:sz w:val="32"/>
          <w:szCs w:val="32"/>
        </w:rPr>
        <w:t>2020</w:t>
      </w:r>
      <w:r>
        <w:rPr>
          <w:rFonts w:eastAsia="仿宋_GB2312" w:hint="eastAsia"/>
          <w:bCs/>
          <w:sz w:val="32"/>
          <w:szCs w:val="32"/>
        </w:rPr>
        <w:t>年度部门整体支出绩效自评报告如下：</w:t>
      </w:r>
    </w:p>
    <w:p w14:paraId="34B48968" w14:textId="77777777" w:rsidR="008D68C9" w:rsidRDefault="00000000">
      <w:pPr>
        <w:adjustRightInd w:val="0"/>
        <w:snapToGrid w:val="0"/>
        <w:spacing w:line="640" w:lineRule="exact"/>
        <w:ind w:firstLineChars="200" w:firstLine="640"/>
        <w:rPr>
          <w:rFonts w:ascii="黑体" w:eastAsia="黑体" w:hAnsi="黑体"/>
          <w:sz w:val="32"/>
          <w:szCs w:val="32"/>
        </w:rPr>
      </w:pPr>
      <w:r>
        <w:rPr>
          <w:rFonts w:ascii="黑体" w:eastAsia="黑体" w:hAnsi="黑体" w:hint="eastAsia"/>
          <w:sz w:val="32"/>
          <w:szCs w:val="32"/>
        </w:rPr>
        <w:t>一、基本情况</w:t>
      </w:r>
    </w:p>
    <w:p w14:paraId="0D0833F3" w14:textId="77777777" w:rsidR="008D68C9" w:rsidRDefault="00000000">
      <w:pPr>
        <w:adjustRightInd w:val="0"/>
        <w:snapToGrid w:val="0"/>
        <w:spacing w:line="640" w:lineRule="exact"/>
        <w:ind w:firstLineChars="200" w:firstLine="640"/>
        <w:rPr>
          <w:rFonts w:ascii="楷体_GB2312" w:eastAsia="楷体_GB2312"/>
          <w:sz w:val="32"/>
          <w:szCs w:val="32"/>
        </w:rPr>
      </w:pPr>
      <w:r>
        <w:rPr>
          <w:rFonts w:ascii="楷体_GB2312" w:eastAsia="楷体_GB2312"/>
          <w:sz w:val="32"/>
          <w:szCs w:val="32"/>
        </w:rPr>
        <w:t>(</w:t>
      </w:r>
      <w:proofErr w:type="gramStart"/>
      <w:r>
        <w:rPr>
          <w:rFonts w:ascii="楷体_GB2312" w:eastAsia="楷体_GB2312" w:hint="eastAsia"/>
          <w:sz w:val="32"/>
          <w:szCs w:val="32"/>
        </w:rPr>
        <w:t>一</w:t>
      </w:r>
      <w:proofErr w:type="gramEnd"/>
      <w:r>
        <w:rPr>
          <w:rFonts w:ascii="楷体_GB2312" w:eastAsia="楷体_GB2312"/>
          <w:sz w:val="32"/>
          <w:szCs w:val="32"/>
        </w:rPr>
        <w:t xml:space="preserve">) </w:t>
      </w:r>
      <w:r>
        <w:rPr>
          <w:rFonts w:ascii="楷体_GB2312" w:eastAsia="楷体_GB2312" w:hint="eastAsia"/>
          <w:sz w:val="32"/>
          <w:szCs w:val="32"/>
        </w:rPr>
        <w:t>部门基本情况</w:t>
      </w:r>
    </w:p>
    <w:p w14:paraId="0EBDAA9A" w14:textId="77777777" w:rsidR="008D68C9" w:rsidRDefault="00000000">
      <w:pPr>
        <w:pStyle w:val="4"/>
        <w:rPr>
          <w:rFonts w:eastAsia="楷体_GB2312"/>
          <w:sz w:val="32"/>
          <w:szCs w:val="32"/>
        </w:rPr>
      </w:pPr>
      <w:r>
        <w:rPr>
          <w:rFonts w:ascii="楷体_GB2312" w:eastAsia="楷体_GB2312" w:hint="eastAsia"/>
          <w:sz w:val="32"/>
          <w:szCs w:val="32"/>
        </w:rPr>
        <w:t xml:space="preserve">    1、组织机构设置及人员情况。</w:t>
      </w:r>
    </w:p>
    <w:p w14:paraId="1D4687B3" w14:textId="77777777" w:rsidR="008D68C9" w:rsidRDefault="00000000">
      <w:pPr>
        <w:snapToGrid w:val="0"/>
        <w:spacing w:line="600" w:lineRule="exact"/>
        <w:ind w:firstLineChars="200" w:firstLine="640"/>
        <w:rPr>
          <w:rFonts w:eastAsia="仿宋_GB2312"/>
          <w:sz w:val="32"/>
          <w:szCs w:val="32"/>
        </w:rPr>
      </w:pPr>
      <w:r>
        <w:rPr>
          <w:rFonts w:eastAsia="仿宋_GB2312" w:hint="eastAsia"/>
          <w:bCs/>
          <w:sz w:val="32"/>
          <w:szCs w:val="32"/>
        </w:rPr>
        <w:t>张家界市发展和改革委员会是</w:t>
      </w:r>
      <w:r>
        <w:rPr>
          <w:rFonts w:eastAsia="仿宋_GB2312" w:hint="eastAsia"/>
          <w:sz w:val="32"/>
          <w:szCs w:val="32"/>
        </w:rPr>
        <w:t>市政府的工作部门，正处级行政单位</w:t>
      </w:r>
      <w:r>
        <w:rPr>
          <w:rFonts w:eastAsia="仿宋_GB2312" w:hint="eastAsia"/>
          <w:sz w:val="32"/>
          <w:szCs w:val="32"/>
        </w:rPr>
        <w:t>,</w:t>
      </w:r>
      <w:r>
        <w:rPr>
          <w:rFonts w:eastAsia="仿宋_GB2312" w:hint="eastAsia"/>
          <w:sz w:val="32"/>
          <w:szCs w:val="32"/>
        </w:rPr>
        <w:t>对</w:t>
      </w:r>
      <w:proofErr w:type="gramStart"/>
      <w:r>
        <w:rPr>
          <w:rFonts w:eastAsia="仿宋_GB2312" w:hint="eastAsia"/>
          <w:sz w:val="32"/>
          <w:szCs w:val="32"/>
        </w:rPr>
        <w:t>外加挂市粮食</w:t>
      </w:r>
      <w:proofErr w:type="gramEnd"/>
      <w:r>
        <w:rPr>
          <w:rFonts w:eastAsia="仿宋_GB2312" w:hint="eastAsia"/>
          <w:sz w:val="32"/>
          <w:szCs w:val="32"/>
        </w:rPr>
        <w:t>和物资储备局牌子。内设</w:t>
      </w:r>
      <w:r>
        <w:rPr>
          <w:rFonts w:eastAsia="仿宋_GB2312" w:hint="eastAsia"/>
          <w:sz w:val="32"/>
          <w:szCs w:val="32"/>
        </w:rPr>
        <w:t>24</w:t>
      </w:r>
      <w:r>
        <w:rPr>
          <w:rFonts w:eastAsia="仿宋_GB2312" w:hint="eastAsia"/>
          <w:sz w:val="32"/>
          <w:szCs w:val="32"/>
        </w:rPr>
        <w:t>个职能科室：办公室、规划科、法制审批科、综合科、体改科、投资科、地区科、农经科、基础设施科、工业科、服务贸易科、资环科、社会科、就业科、财信科、能源科、价费科、</w:t>
      </w:r>
      <w:proofErr w:type="gramStart"/>
      <w:r>
        <w:rPr>
          <w:rFonts w:eastAsia="仿宋_GB2312" w:hint="eastAsia"/>
          <w:sz w:val="32"/>
          <w:szCs w:val="32"/>
        </w:rPr>
        <w:t>价调科</w:t>
      </w:r>
      <w:proofErr w:type="gramEnd"/>
      <w:r>
        <w:rPr>
          <w:rFonts w:eastAsia="仿宋_GB2312" w:hint="eastAsia"/>
          <w:sz w:val="32"/>
          <w:szCs w:val="32"/>
        </w:rPr>
        <w:t>、西开科、公管科、粮储科、</w:t>
      </w:r>
      <w:proofErr w:type="gramStart"/>
      <w:r>
        <w:rPr>
          <w:rFonts w:eastAsia="仿宋_GB2312" w:hint="eastAsia"/>
          <w:sz w:val="32"/>
          <w:szCs w:val="32"/>
        </w:rPr>
        <w:t>粮产安科</w:t>
      </w:r>
      <w:proofErr w:type="gramEnd"/>
      <w:r>
        <w:rPr>
          <w:rFonts w:eastAsia="仿宋_GB2312" w:hint="eastAsia"/>
          <w:sz w:val="32"/>
          <w:szCs w:val="32"/>
        </w:rPr>
        <w:t>、人事科、机关党委。</w:t>
      </w:r>
    </w:p>
    <w:p w14:paraId="35D0A8E2" w14:textId="77777777" w:rsidR="008D68C9" w:rsidRDefault="00000000">
      <w:pPr>
        <w:snapToGrid w:val="0"/>
        <w:spacing w:line="600" w:lineRule="exact"/>
        <w:ind w:firstLineChars="200" w:firstLine="640"/>
        <w:rPr>
          <w:rFonts w:eastAsia="仿宋_GB2312"/>
          <w:sz w:val="32"/>
          <w:szCs w:val="32"/>
        </w:rPr>
      </w:pPr>
      <w:proofErr w:type="gramStart"/>
      <w:r>
        <w:rPr>
          <w:rFonts w:eastAsia="仿宋_GB2312" w:hint="eastAsia"/>
          <w:sz w:val="32"/>
          <w:szCs w:val="32"/>
        </w:rPr>
        <w:t>委属事业单位</w:t>
      </w:r>
      <w:proofErr w:type="gramEnd"/>
      <w:r>
        <w:rPr>
          <w:rFonts w:eastAsia="仿宋_GB2312" w:hint="eastAsia"/>
          <w:sz w:val="32"/>
          <w:szCs w:val="32"/>
        </w:rPr>
        <w:t>：市重点建设项目事务中心（副处级财政全额拨款事业单位）；市节能监察中心、市价格认证中心、市价格监</w:t>
      </w:r>
      <w:r>
        <w:rPr>
          <w:rFonts w:eastAsia="仿宋_GB2312" w:hint="eastAsia"/>
          <w:sz w:val="32"/>
          <w:szCs w:val="32"/>
        </w:rPr>
        <w:lastRenderedPageBreak/>
        <w:t>测中心、市价格调节基金征收办公室、市粮食储备中心、市价格成本调查队（６个正科级财政全额拨款事业单位）。以上二级机构财务均不独立核算，由</w:t>
      </w:r>
      <w:proofErr w:type="gramStart"/>
      <w:r>
        <w:rPr>
          <w:rFonts w:eastAsia="仿宋_GB2312" w:hint="eastAsia"/>
          <w:sz w:val="32"/>
          <w:szCs w:val="32"/>
        </w:rPr>
        <w:t>市发改委</w:t>
      </w:r>
      <w:proofErr w:type="gramEnd"/>
      <w:r>
        <w:rPr>
          <w:rFonts w:eastAsia="仿宋_GB2312" w:hint="eastAsia"/>
          <w:sz w:val="32"/>
          <w:szCs w:val="32"/>
        </w:rPr>
        <w:t>统筹管理。</w:t>
      </w:r>
      <w:r>
        <w:rPr>
          <w:rFonts w:eastAsia="仿宋_GB2312"/>
          <w:sz w:val="32"/>
          <w:szCs w:val="32"/>
        </w:rPr>
        <w:t>委机关为独立核算，机关</w:t>
      </w:r>
      <w:r>
        <w:rPr>
          <w:rFonts w:eastAsia="仿宋_GB2312" w:hint="eastAsia"/>
          <w:sz w:val="32"/>
          <w:szCs w:val="32"/>
        </w:rPr>
        <w:t>年末编制人数</w:t>
      </w:r>
      <w:r>
        <w:rPr>
          <w:rFonts w:eastAsia="仿宋_GB2312" w:hint="eastAsia"/>
          <w:sz w:val="32"/>
          <w:szCs w:val="32"/>
        </w:rPr>
        <w:t>77</w:t>
      </w:r>
      <w:r>
        <w:rPr>
          <w:rFonts w:eastAsia="仿宋_GB2312" w:hint="eastAsia"/>
          <w:sz w:val="32"/>
          <w:szCs w:val="32"/>
        </w:rPr>
        <w:t>名，其中：</w:t>
      </w:r>
      <w:r>
        <w:rPr>
          <w:rFonts w:eastAsia="仿宋_GB2312"/>
          <w:sz w:val="32"/>
          <w:szCs w:val="32"/>
        </w:rPr>
        <w:t>行政编制</w:t>
      </w:r>
      <w:r>
        <w:rPr>
          <w:rFonts w:eastAsia="仿宋_GB2312" w:hint="eastAsia"/>
          <w:sz w:val="32"/>
          <w:szCs w:val="32"/>
        </w:rPr>
        <w:t>42</w:t>
      </w:r>
      <w:r>
        <w:rPr>
          <w:rFonts w:eastAsia="仿宋_GB2312"/>
          <w:sz w:val="32"/>
          <w:szCs w:val="32"/>
        </w:rPr>
        <w:t>名，</w:t>
      </w:r>
      <w:r>
        <w:rPr>
          <w:rFonts w:eastAsia="仿宋_GB2312" w:hint="eastAsia"/>
          <w:sz w:val="32"/>
          <w:szCs w:val="32"/>
        </w:rPr>
        <w:t>机关工勤</w:t>
      </w:r>
      <w:r>
        <w:rPr>
          <w:rFonts w:eastAsia="仿宋_GB2312" w:hint="eastAsia"/>
          <w:sz w:val="32"/>
          <w:szCs w:val="32"/>
        </w:rPr>
        <w:t>3</w:t>
      </w:r>
      <w:r>
        <w:rPr>
          <w:rFonts w:eastAsia="仿宋_GB2312" w:hint="eastAsia"/>
          <w:sz w:val="32"/>
          <w:szCs w:val="32"/>
        </w:rPr>
        <w:t>名，</w:t>
      </w:r>
      <w:r>
        <w:rPr>
          <w:rFonts w:eastAsia="仿宋_GB2312"/>
          <w:sz w:val="32"/>
          <w:szCs w:val="32"/>
        </w:rPr>
        <w:t>全额拨款事业编制</w:t>
      </w:r>
      <w:r>
        <w:rPr>
          <w:rFonts w:eastAsia="仿宋_GB2312" w:hint="eastAsia"/>
          <w:sz w:val="32"/>
          <w:szCs w:val="32"/>
        </w:rPr>
        <w:t>32</w:t>
      </w:r>
      <w:r>
        <w:rPr>
          <w:rFonts w:eastAsia="仿宋_GB2312"/>
          <w:sz w:val="32"/>
          <w:szCs w:val="32"/>
        </w:rPr>
        <w:t>名</w:t>
      </w:r>
      <w:r>
        <w:rPr>
          <w:rFonts w:eastAsia="仿宋_GB2312" w:hint="eastAsia"/>
          <w:sz w:val="32"/>
          <w:szCs w:val="32"/>
        </w:rPr>
        <w:t>。</w:t>
      </w:r>
    </w:p>
    <w:p w14:paraId="20EBAB30" w14:textId="77777777" w:rsidR="008D68C9" w:rsidRDefault="00000000">
      <w:pPr>
        <w:snapToGrid w:val="0"/>
        <w:spacing w:line="600" w:lineRule="exact"/>
        <w:ind w:firstLineChars="200" w:firstLine="640"/>
        <w:rPr>
          <w:rFonts w:eastAsia="仿宋_GB2312"/>
          <w:sz w:val="32"/>
          <w:szCs w:val="32"/>
        </w:rPr>
      </w:pPr>
      <w:r>
        <w:rPr>
          <w:rFonts w:eastAsia="仿宋_GB2312" w:hint="eastAsia"/>
          <w:sz w:val="32"/>
          <w:szCs w:val="32"/>
        </w:rPr>
        <w:t>我委主要工作职责：</w:t>
      </w:r>
    </w:p>
    <w:p w14:paraId="0C13160D"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1.拟订并组织实施全市国民经济和社会发展战略、中长期规划和年度计划。</w:t>
      </w:r>
    </w:p>
    <w:p w14:paraId="53419A62"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 xml:space="preserve">2. </w:t>
      </w:r>
      <w:r>
        <w:rPr>
          <w:rFonts w:ascii="仿宋" w:eastAsia="仿宋" w:hAnsi="仿宋" w:cs="仿宋"/>
          <w:color w:val="000000"/>
          <w:kern w:val="0"/>
          <w:sz w:val="32"/>
          <w:szCs w:val="32"/>
          <w:shd w:val="clear" w:color="auto" w:fill="FFFFFF"/>
        </w:rPr>
        <w:t>落实加快建设现代化经济体系、推动高质量发展的总体目标、重大任务以及相关政策。</w:t>
      </w:r>
    </w:p>
    <w:p w14:paraId="16CC7B25"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3.统筹提出全市国民经济和社会发展主要目标，监测预测预警宏观经济和社会发展态势趋势，提出宏观调控建议。</w:t>
      </w:r>
    </w:p>
    <w:p w14:paraId="3D9CF03E"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4.指导推进和综合协调全市经济体制改革有关工作，提出相关改革建议。</w:t>
      </w:r>
    </w:p>
    <w:p w14:paraId="48B93E09"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5. 提出全市利用外资和境外投资的规划、总量平衡和结构优化的目标和政策。统筹安排外资项目、境外投资项目。</w:t>
      </w:r>
    </w:p>
    <w:p w14:paraId="058DAC00"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6. 负责投资综合管理，拟订全市固定资产投资总规模、结构调控目标、政策及措施，会同相关部门拟订政府投资项目审批权限和政府核准的固定资产投资项目目录。</w:t>
      </w:r>
    </w:p>
    <w:p w14:paraId="270C2F7A"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7. 贯彻落实西部开发、中部崛起、湘西地区以及长江经济带发展的相关政策措施,协调推进两型社会建设。</w:t>
      </w:r>
    </w:p>
    <w:p w14:paraId="19862CFF"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8.组织拟订综合性产业政策。</w:t>
      </w:r>
    </w:p>
    <w:p w14:paraId="4B78E5AA"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lastRenderedPageBreak/>
        <w:t>9. 推动实施创新驱动发展战略。</w:t>
      </w:r>
    </w:p>
    <w:p w14:paraId="780F78FB"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10. 跟踪</w:t>
      </w:r>
      <w:proofErr w:type="gramStart"/>
      <w:r>
        <w:rPr>
          <w:rFonts w:ascii="仿宋" w:eastAsia="仿宋" w:hAnsi="仿宋" w:cs="仿宋" w:hint="eastAsia"/>
          <w:color w:val="000000"/>
          <w:kern w:val="0"/>
          <w:sz w:val="32"/>
          <w:szCs w:val="32"/>
          <w:shd w:val="clear" w:color="auto" w:fill="FFFFFF"/>
        </w:rPr>
        <w:t>研判涉及</w:t>
      </w:r>
      <w:proofErr w:type="gramEnd"/>
      <w:r>
        <w:rPr>
          <w:rFonts w:ascii="仿宋" w:eastAsia="仿宋" w:hAnsi="仿宋" w:cs="仿宋" w:hint="eastAsia"/>
          <w:color w:val="000000"/>
          <w:kern w:val="0"/>
          <w:sz w:val="32"/>
          <w:szCs w:val="32"/>
          <w:shd w:val="clear" w:color="auto" w:fill="FFFFFF"/>
        </w:rPr>
        <w:t>经济安全、生态安全、资源安全、科技安全、社会安全等各</w:t>
      </w:r>
      <w:proofErr w:type="gramStart"/>
      <w:r>
        <w:rPr>
          <w:rFonts w:ascii="仿宋" w:eastAsia="仿宋" w:hAnsi="仿宋" w:cs="仿宋" w:hint="eastAsia"/>
          <w:color w:val="000000"/>
          <w:kern w:val="0"/>
          <w:sz w:val="32"/>
          <w:szCs w:val="32"/>
          <w:shd w:val="clear" w:color="auto" w:fill="FFFFFF"/>
        </w:rPr>
        <w:t>类凤险</w:t>
      </w:r>
      <w:proofErr w:type="gramEnd"/>
      <w:r>
        <w:rPr>
          <w:rFonts w:ascii="仿宋" w:eastAsia="仿宋" w:hAnsi="仿宋" w:cs="仿宋" w:hint="eastAsia"/>
          <w:color w:val="000000"/>
          <w:kern w:val="0"/>
          <w:sz w:val="32"/>
          <w:szCs w:val="32"/>
          <w:shd w:val="clear" w:color="auto" w:fill="FFFFFF"/>
        </w:rPr>
        <w:t>隐患，提出相关工作建议。</w:t>
      </w:r>
    </w:p>
    <w:p w14:paraId="04A1274E"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11.负责社会发展与国民经济发展的政策衔接，协调有关重大问题。</w:t>
      </w:r>
    </w:p>
    <w:p w14:paraId="356D8107"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12. 推进实施可持续发展战略，推动生态文明建设和改革，协调生态环境保护与修复、能源资源节约和综合利用等工作。</w:t>
      </w:r>
    </w:p>
    <w:p w14:paraId="44FBAB08"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13.拟订并组织实施有关价格政策，制定市级管理的重要商品、服务价格和收费标准。</w:t>
      </w:r>
    </w:p>
    <w:p w14:paraId="05DD224F"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14. 牵头推进全市优化营商环境工作。</w:t>
      </w:r>
    </w:p>
    <w:p w14:paraId="0F79E05B"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15. 会同有关部门拟订推进全市经济建设与国防建设协调发展的规划，协调有关重大问题。</w:t>
      </w:r>
    </w:p>
    <w:p w14:paraId="51A0CA9D"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16.制定并组织实施全市粮食宏观调控及粮食流通发展规划，组织指导粮食市场体系和质量监测体系建设，承担全市粮食流通宏观调控的具体工作。</w:t>
      </w:r>
    </w:p>
    <w:p w14:paraId="2089D4C9" w14:textId="77777777" w:rsidR="008D68C9" w:rsidRDefault="00000000">
      <w:pPr>
        <w:snapToGrid w:val="0"/>
        <w:spacing w:line="600" w:lineRule="exact"/>
        <w:ind w:firstLineChars="200" w:firstLine="640"/>
        <w:rPr>
          <w:rFonts w:ascii="仿宋" w:eastAsia="仿宋" w:hAnsi="仿宋" w:cs="仿宋"/>
          <w:color w:val="000000"/>
          <w:kern w:val="0"/>
          <w:sz w:val="32"/>
          <w:szCs w:val="32"/>
          <w:shd w:val="clear" w:color="auto" w:fill="FFFFFF"/>
        </w:rPr>
      </w:pPr>
      <w:r>
        <w:rPr>
          <w:rFonts w:ascii="仿宋" w:eastAsia="仿宋" w:hAnsi="仿宋" w:cs="仿宋" w:hint="eastAsia"/>
          <w:color w:val="000000"/>
          <w:kern w:val="0"/>
          <w:sz w:val="32"/>
          <w:szCs w:val="32"/>
          <w:shd w:val="clear" w:color="auto" w:fill="FFFFFF"/>
        </w:rPr>
        <w:t>17.组织实施国家粮食和物资储备仓储管理有关技术标准和规范。</w:t>
      </w:r>
    </w:p>
    <w:p w14:paraId="62B4DE23" w14:textId="77777777" w:rsidR="008D68C9" w:rsidRDefault="00000000">
      <w:pPr>
        <w:adjustRightInd w:val="0"/>
        <w:snapToGrid w:val="0"/>
        <w:spacing w:line="640" w:lineRule="exact"/>
        <w:ind w:firstLineChars="200" w:firstLine="624"/>
        <w:rPr>
          <w:rFonts w:ascii="楷体_GB2312" w:eastAsia="楷体_GB2312"/>
          <w:spacing w:val="-4"/>
          <w:sz w:val="32"/>
          <w:szCs w:val="32"/>
        </w:rPr>
      </w:pPr>
      <w:r>
        <w:rPr>
          <w:rFonts w:ascii="楷体_GB2312" w:eastAsia="楷体_GB2312"/>
          <w:spacing w:val="-4"/>
          <w:sz w:val="32"/>
          <w:szCs w:val="32"/>
        </w:rPr>
        <w:t>(</w:t>
      </w:r>
      <w:r>
        <w:rPr>
          <w:rFonts w:ascii="楷体_GB2312" w:eastAsia="楷体_GB2312" w:hint="eastAsia"/>
          <w:spacing w:val="-4"/>
          <w:sz w:val="32"/>
          <w:szCs w:val="32"/>
        </w:rPr>
        <w:t>二</w:t>
      </w:r>
      <w:r>
        <w:rPr>
          <w:rFonts w:ascii="楷体_GB2312" w:eastAsia="楷体_GB2312"/>
          <w:spacing w:val="-4"/>
          <w:sz w:val="32"/>
          <w:szCs w:val="32"/>
        </w:rPr>
        <w:t xml:space="preserve">) </w:t>
      </w:r>
      <w:r>
        <w:rPr>
          <w:rFonts w:ascii="楷体_GB2312" w:eastAsia="楷体_GB2312" w:hint="eastAsia"/>
          <w:spacing w:val="-4"/>
          <w:sz w:val="32"/>
          <w:szCs w:val="32"/>
        </w:rPr>
        <w:t>部门年度整体支出使用方向和主要内容</w:t>
      </w:r>
    </w:p>
    <w:p w14:paraId="4FBACA9E" w14:textId="77777777" w:rsidR="008D68C9" w:rsidRDefault="00000000">
      <w:pPr>
        <w:adjustRightInd w:val="0"/>
        <w:snapToGrid w:val="0"/>
        <w:spacing w:line="640" w:lineRule="exact"/>
        <w:ind w:firstLineChars="200" w:firstLine="640"/>
        <w:rPr>
          <w:rFonts w:eastAsia="仿宋_GB2312"/>
          <w:sz w:val="32"/>
          <w:szCs w:val="32"/>
        </w:rPr>
      </w:pPr>
      <w:r>
        <w:rPr>
          <w:rFonts w:ascii="仿宋" w:eastAsia="仿宋" w:hAnsi="仿宋" w:cs="仿宋" w:hint="eastAsia"/>
          <w:color w:val="000000"/>
          <w:kern w:val="0"/>
          <w:sz w:val="32"/>
          <w:szCs w:val="32"/>
          <w:shd w:val="clear" w:color="auto" w:fill="FFFFFF"/>
        </w:rPr>
        <w:t>2020年，在市委、市政府的正确领导下，全市发展改革系统深</w:t>
      </w:r>
      <w:r>
        <w:rPr>
          <w:rFonts w:eastAsia="仿宋_GB2312" w:hint="eastAsia"/>
          <w:sz w:val="32"/>
          <w:szCs w:val="32"/>
        </w:rPr>
        <w:t>入</w:t>
      </w:r>
      <w:proofErr w:type="gramStart"/>
      <w:r>
        <w:rPr>
          <w:rFonts w:eastAsia="仿宋_GB2312" w:hint="eastAsia"/>
          <w:sz w:val="32"/>
          <w:szCs w:val="32"/>
        </w:rPr>
        <w:t>践行</w:t>
      </w:r>
      <w:proofErr w:type="gramEnd"/>
      <w:r>
        <w:rPr>
          <w:rFonts w:eastAsia="仿宋_GB2312" w:hint="eastAsia"/>
          <w:sz w:val="32"/>
          <w:szCs w:val="32"/>
        </w:rPr>
        <w:t>习近平新时代中国特色社会主义思想，认真贯彻落实市委市政府各项决策部署，着力</w:t>
      </w:r>
      <w:r>
        <w:rPr>
          <w:rFonts w:eastAsia="仿宋_GB2312"/>
          <w:sz w:val="32"/>
          <w:szCs w:val="32"/>
        </w:rPr>
        <w:t>“</w:t>
      </w:r>
      <w:r>
        <w:rPr>
          <w:rFonts w:eastAsia="仿宋_GB2312" w:hint="eastAsia"/>
          <w:sz w:val="32"/>
          <w:szCs w:val="32"/>
        </w:rPr>
        <w:t>把握大趋势、整合大政策、推</w:t>
      </w:r>
      <w:r>
        <w:rPr>
          <w:rFonts w:eastAsia="仿宋_GB2312" w:hint="eastAsia"/>
          <w:sz w:val="32"/>
          <w:szCs w:val="32"/>
        </w:rPr>
        <w:lastRenderedPageBreak/>
        <w:t>动大项目、优化大环境、助推大发展</w:t>
      </w:r>
      <w:r>
        <w:rPr>
          <w:rFonts w:eastAsia="仿宋_GB2312"/>
          <w:sz w:val="32"/>
          <w:szCs w:val="32"/>
        </w:rPr>
        <w:t>”</w:t>
      </w:r>
      <w:r>
        <w:rPr>
          <w:rFonts w:eastAsia="仿宋_GB2312" w:hint="eastAsia"/>
          <w:sz w:val="32"/>
          <w:szCs w:val="32"/>
        </w:rPr>
        <w:t>，统筹推进疫情防控和经济社会发展，扎实做好</w:t>
      </w:r>
      <w:r>
        <w:rPr>
          <w:rFonts w:eastAsia="仿宋_GB2312"/>
          <w:sz w:val="32"/>
          <w:szCs w:val="32"/>
        </w:rPr>
        <w:t>“</w:t>
      </w:r>
      <w:r>
        <w:rPr>
          <w:rFonts w:eastAsia="仿宋_GB2312" w:hint="eastAsia"/>
          <w:sz w:val="32"/>
          <w:szCs w:val="32"/>
        </w:rPr>
        <w:t>六稳</w:t>
      </w:r>
      <w:r>
        <w:rPr>
          <w:rFonts w:eastAsia="仿宋_GB2312"/>
          <w:sz w:val="32"/>
          <w:szCs w:val="32"/>
        </w:rPr>
        <w:t>”</w:t>
      </w:r>
      <w:r>
        <w:rPr>
          <w:rFonts w:eastAsia="仿宋_GB2312" w:hint="eastAsia"/>
          <w:sz w:val="32"/>
          <w:szCs w:val="32"/>
        </w:rPr>
        <w:t>工作，全面落实</w:t>
      </w:r>
      <w:r>
        <w:rPr>
          <w:rFonts w:eastAsia="仿宋_GB2312"/>
          <w:sz w:val="32"/>
          <w:szCs w:val="32"/>
        </w:rPr>
        <w:t>“</w:t>
      </w:r>
      <w:r>
        <w:rPr>
          <w:rFonts w:eastAsia="仿宋_GB2312" w:hint="eastAsia"/>
          <w:sz w:val="32"/>
          <w:szCs w:val="32"/>
        </w:rPr>
        <w:t>六保</w:t>
      </w:r>
      <w:r>
        <w:rPr>
          <w:rFonts w:eastAsia="仿宋_GB2312"/>
          <w:sz w:val="32"/>
          <w:szCs w:val="32"/>
        </w:rPr>
        <w:t>”</w:t>
      </w:r>
      <w:r>
        <w:rPr>
          <w:rFonts w:eastAsia="仿宋_GB2312" w:hint="eastAsia"/>
          <w:sz w:val="32"/>
          <w:szCs w:val="32"/>
        </w:rPr>
        <w:t>任务，以超常规举措狠抓各项工作落实，为全市经济高质量发展</w:t>
      </w:r>
      <w:proofErr w:type="gramStart"/>
      <w:r>
        <w:rPr>
          <w:rFonts w:eastAsia="仿宋_GB2312" w:hint="eastAsia"/>
          <w:sz w:val="32"/>
          <w:szCs w:val="32"/>
        </w:rPr>
        <w:t>作出</w:t>
      </w:r>
      <w:proofErr w:type="gramEnd"/>
      <w:r>
        <w:rPr>
          <w:rFonts w:eastAsia="仿宋_GB2312" w:hint="eastAsia"/>
          <w:sz w:val="32"/>
          <w:szCs w:val="32"/>
        </w:rPr>
        <w:t>了积极贡献，在大疫大灾之年展现了</w:t>
      </w:r>
      <w:proofErr w:type="gramStart"/>
      <w:r>
        <w:rPr>
          <w:rFonts w:eastAsia="仿宋_GB2312" w:hint="eastAsia"/>
          <w:sz w:val="32"/>
          <w:szCs w:val="32"/>
        </w:rPr>
        <w:t>发改系统</w:t>
      </w:r>
      <w:proofErr w:type="gramEnd"/>
      <w:r>
        <w:rPr>
          <w:rFonts w:eastAsia="仿宋_GB2312" w:hint="eastAsia"/>
          <w:sz w:val="32"/>
          <w:szCs w:val="32"/>
        </w:rPr>
        <w:t>的责任担当。</w:t>
      </w:r>
    </w:p>
    <w:p w14:paraId="4BFBEA70" w14:textId="77777777" w:rsidR="008D68C9" w:rsidRDefault="008D68C9">
      <w:pPr>
        <w:ind w:firstLine="610"/>
        <w:rPr>
          <w:sz w:val="32"/>
          <w:szCs w:val="32"/>
        </w:rPr>
      </w:pPr>
    </w:p>
    <w:p w14:paraId="1A5D98C4" w14:textId="77777777" w:rsidR="008D68C9" w:rsidRDefault="00000000">
      <w:pPr>
        <w:numPr>
          <w:ilvl w:val="0"/>
          <w:numId w:val="1"/>
        </w:numPr>
        <w:adjustRightInd w:val="0"/>
        <w:snapToGrid w:val="0"/>
        <w:spacing w:line="640" w:lineRule="exact"/>
        <w:ind w:firstLineChars="200" w:firstLine="640"/>
        <w:rPr>
          <w:rFonts w:ascii="黑体" w:eastAsia="黑体" w:hAnsi="黑体"/>
          <w:sz w:val="32"/>
          <w:szCs w:val="32"/>
        </w:rPr>
      </w:pPr>
      <w:r>
        <w:rPr>
          <w:rFonts w:ascii="黑体" w:eastAsia="黑体" w:hAnsi="黑体" w:hint="eastAsia"/>
          <w:sz w:val="32"/>
          <w:szCs w:val="32"/>
        </w:rPr>
        <w:t>一般公共预算支出情况</w:t>
      </w:r>
    </w:p>
    <w:p w14:paraId="13BA5506" w14:textId="77777777" w:rsidR="008D68C9" w:rsidRDefault="00000000">
      <w:pPr>
        <w:adjustRightInd w:val="0"/>
        <w:snapToGrid w:val="0"/>
        <w:spacing w:line="640" w:lineRule="exact"/>
        <w:ind w:firstLineChars="200" w:firstLine="640"/>
        <w:rPr>
          <w:sz w:val="32"/>
          <w:szCs w:val="32"/>
        </w:rPr>
      </w:pPr>
      <w:r>
        <w:rPr>
          <w:rFonts w:hint="eastAsia"/>
          <w:sz w:val="32"/>
          <w:szCs w:val="32"/>
        </w:rPr>
        <w:t xml:space="preserve">  </w:t>
      </w:r>
      <w:r>
        <w:rPr>
          <w:rFonts w:ascii="仿宋" w:eastAsia="仿宋" w:hAnsi="仿宋" w:cs="仿宋" w:hint="eastAsia"/>
          <w:color w:val="000000"/>
          <w:sz w:val="32"/>
          <w:szCs w:val="32"/>
          <w:shd w:val="clear" w:color="auto" w:fill="FFFFFF"/>
        </w:rPr>
        <w:t>2020年支出 3955.09万元，其中基本支出2094.71万元，</w:t>
      </w:r>
      <w:r>
        <w:rPr>
          <w:rFonts w:eastAsia="仿宋_GB2312" w:hint="eastAsia"/>
          <w:sz w:val="32"/>
          <w:szCs w:val="32"/>
        </w:rPr>
        <w:t>用于人员经费和日常公用经费支出，</w:t>
      </w:r>
      <w:r>
        <w:rPr>
          <w:rFonts w:ascii="仿宋" w:eastAsia="仿宋" w:hAnsi="仿宋" w:cs="仿宋" w:hint="eastAsia"/>
          <w:color w:val="000000"/>
          <w:sz w:val="32"/>
          <w:szCs w:val="32"/>
          <w:shd w:val="clear" w:color="auto" w:fill="FFFFFF"/>
        </w:rPr>
        <w:t>占本年支出的53%；项目支出1860.37万元，</w:t>
      </w:r>
      <w:r>
        <w:rPr>
          <w:rFonts w:eastAsia="仿宋_GB2312" w:hint="eastAsia"/>
          <w:sz w:val="32"/>
          <w:szCs w:val="32"/>
        </w:rPr>
        <w:t>用于开展各项专项活动支出，</w:t>
      </w:r>
      <w:r>
        <w:rPr>
          <w:rFonts w:ascii="仿宋" w:eastAsia="仿宋" w:hAnsi="仿宋" w:cs="仿宋" w:hint="eastAsia"/>
          <w:color w:val="000000"/>
          <w:sz w:val="32"/>
          <w:szCs w:val="32"/>
          <w:shd w:val="clear" w:color="auto" w:fill="FFFFFF"/>
        </w:rPr>
        <w:t>占本年支出的47%。</w:t>
      </w:r>
    </w:p>
    <w:p w14:paraId="6E5C7509" w14:textId="77777777" w:rsidR="008D68C9" w:rsidRDefault="00000000">
      <w:pPr>
        <w:adjustRightInd w:val="0"/>
        <w:snapToGrid w:val="0"/>
        <w:spacing w:line="640" w:lineRule="exact"/>
        <w:ind w:firstLineChars="200" w:firstLine="640"/>
        <w:rPr>
          <w:rFonts w:ascii="楷体_GB2312" w:eastAsia="楷体_GB2312"/>
          <w:sz w:val="32"/>
          <w:szCs w:val="32"/>
        </w:rPr>
      </w:pPr>
      <w:r>
        <w:rPr>
          <w:rFonts w:ascii="楷体_GB2312" w:eastAsia="楷体_GB2312"/>
          <w:sz w:val="32"/>
          <w:szCs w:val="32"/>
        </w:rPr>
        <w:t>(</w:t>
      </w:r>
      <w:proofErr w:type="gramStart"/>
      <w:r>
        <w:rPr>
          <w:rFonts w:ascii="楷体_GB2312" w:eastAsia="楷体_GB2312" w:hint="eastAsia"/>
          <w:sz w:val="32"/>
          <w:szCs w:val="32"/>
        </w:rPr>
        <w:t>一</w:t>
      </w:r>
      <w:proofErr w:type="gramEnd"/>
      <w:r>
        <w:rPr>
          <w:rFonts w:ascii="楷体_GB2312" w:eastAsia="楷体_GB2312"/>
          <w:sz w:val="32"/>
          <w:szCs w:val="32"/>
        </w:rPr>
        <w:t xml:space="preserve">) </w:t>
      </w:r>
      <w:r>
        <w:rPr>
          <w:rFonts w:ascii="楷体_GB2312" w:eastAsia="楷体_GB2312" w:hint="eastAsia"/>
          <w:sz w:val="32"/>
          <w:szCs w:val="32"/>
        </w:rPr>
        <w:t>基本支出</w:t>
      </w:r>
    </w:p>
    <w:p w14:paraId="6C02BA66" w14:textId="77777777" w:rsidR="008D68C9" w:rsidRDefault="00000000">
      <w:pPr>
        <w:adjustRightInd w:val="0"/>
        <w:snapToGrid w:val="0"/>
        <w:spacing w:line="640" w:lineRule="exact"/>
        <w:ind w:firstLineChars="200" w:firstLine="640"/>
        <w:rPr>
          <w:rFonts w:eastAsia="仿宋"/>
          <w:sz w:val="32"/>
          <w:szCs w:val="32"/>
        </w:rPr>
      </w:pPr>
      <w:r>
        <w:rPr>
          <w:rFonts w:eastAsia="仿宋_GB2312" w:hint="eastAsia"/>
          <w:sz w:val="32"/>
          <w:szCs w:val="32"/>
        </w:rPr>
        <w:t>基本支出用于为保障机构正常运转、完成日常工作任务而发生的支出，包括人员经费和公用经费。</w:t>
      </w:r>
      <w:r>
        <w:rPr>
          <w:rFonts w:ascii="仿宋" w:eastAsia="仿宋" w:hAnsi="仿宋" w:cs="仿宋" w:hint="eastAsia"/>
          <w:color w:val="000000"/>
          <w:sz w:val="32"/>
          <w:szCs w:val="32"/>
          <w:shd w:val="clear" w:color="auto" w:fill="FFFFFF"/>
        </w:rPr>
        <w:t xml:space="preserve">2020年度一般公共预算财政拨款基本支出2094.71万元，占本年一般公共预算财政拨款支出3955.09万元的53%。其中人员经费1576.34万元，主要包括基本工资、津贴补贴、奖金、其他社会保障缴费等；日常公用经费518.37万元，主要包括办公费、咨询费、邮电费、差旅费、会议费等。 </w:t>
      </w:r>
    </w:p>
    <w:p w14:paraId="3FB5DD0E" w14:textId="77777777" w:rsidR="008D68C9" w:rsidRDefault="00000000">
      <w:pPr>
        <w:ind w:firstLineChars="168" w:firstLine="538"/>
        <w:rPr>
          <w:rFonts w:ascii="仿宋" w:eastAsia="仿宋" w:hAnsi="仿宋" w:cs="仿宋"/>
          <w:color w:val="000000"/>
          <w:sz w:val="32"/>
          <w:szCs w:val="32"/>
        </w:rPr>
      </w:pPr>
      <w:r>
        <w:rPr>
          <w:rFonts w:ascii="仿宋" w:eastAsia="仿宋" w:hAnsi="仿宋" w:cs="仿宋" w:hint="eastAsia"/>
          <w:color w:val="000000"/>
          <w:sz w:val="32"/>
          <w:szCs w:val="32"/>
        </w:rPr>
        <w:t>2020年我单位“三公”经费支出31.3万元，年初预算59.85万元，完成年初预算的52.3%,决算数小于年初预算数的主要原因是厉行节约，合理安排的结果，决算数比2019年减少4.91万</w:t>
      </w:r>
      <w:r>
        <w:rPr>
          <w:rFonts w:ascii="仿宋" w:eastAsia="仿宋" w:hAnsi="仿宋" w:cs="仿宋" w:hint="eastAsia"/>
          <w:color w:val="000000"/>
          <w:sz w:val="32"/>
          <w:szCs w:val="32"/>
        </w:rPr>
        <w:lastRenderedPageBreak/>
        <w:t>元，减幅15.69%。主要原因是本年度经济受新冠肺炎的影响，全</w:t>
      </w:r>
      <w:proofErr w:type="gramStart"/>
      <w:r>
        <w:rPr>
          <w:rFonts w:ascii="仿宋" w:eastAsia="仿宋" w:hAnsi="仿宋" w:cs="仿宋" w:hint="eastAsia"/>
          <w:color w:val="000000"/>
          <w:sz w:val="32"/>
          <w:szCs w:val="32"/>
        </w:rPr>
        <w:t>委职工</w:t>
      </w:r>
      <w:proofErr w:type="gramEnd"/>
      <w:r>
        <w:rPr>
          <w:rFonts w:ascii="仿宋" w:eastAsia="仿宋" w:hAnsi="仿宋" w:cs="仿宋" w:hint="eastAsia"/>
          <w:color w:val="000000"/>
          <w:sz w:val="32"/>
          <w:szCs w:val="32"/>
        </w:rPr>
        <w:t>厉行节约，合理安排，坚决杜绝不必要的开支。具体支出情况如下：因公出国（境）费 0万元。公务用车购置及运行费21.96万元（其中：公务用车购置费0万元；公务用车运行维护费21.96万元），完成年初预算41.85万元的52.47%，主要用于公务用车的燃油费、修理费、过路过桥费等支出。决算数小于年初预算数的主要原因是积极响应党中央关于严格控制三</w:t>
      </w:r>
      <w:proofErr w:type="gramStart"/>
      <w:r>
        <w:rPr>
          <w:rFonts w:ascii="仿宋" w:eastAsia="仿宋" w:hAnsi="仿宋" w:cs="仿宋" w:hint="eastAsia"/>
          <w:color w:val="000000"/>
          <w:sz w:val="32"/>
          <w:szCs w:val="32"/>
        </w:rPr>
        <w:t>公经费</w:t>
      </w:r>
      <w:proofErr w:type="gramEnd"/>
      <w:r>
        <w:rPr>
          <w:rFonts w:ascii="仿宋" w:eastAsia="仿宋" w:hAnsi="仿宋" w:cs="仿宋" w:hint="eastAsia"/>
          <w:color w:val="000000"/>
          <w:sz w:val="32"/>
          <w:szCs w:val="32"/>
        </w:rPr>
        <w:t>开支号召，本年度厉行节约且对三</w:t>
      </w:r>
      <w:proofErr w:type="gramStart"/>
      <w:r>
        <w:rPr>
          <w:rFonts w:ascii="仿宋" w:eastAsia="仿宋" w:hAnsi="仿宋" w:cs="仿宋" w:hint="eastAsia"/>
          <w:color w:val="000000"/>
          <w:sz w:val="32"/>
          <w:szCs w:val="32"/>
        </w:rPr>
        <w:t>公经费</w:t>
      </w:r>
      <w:proofErr w:type="gramEnd"/>
      <w:r>
        <w:rPr>
          <w:rFonts w:ascii="仿宋" w:eastAsia="仿宋" w:hAnsi="仿宋" w:cs="仿宋" w:hint="eastAsia"/>
          <w:color w:val="000000"/>
          <w:sz w:val="32"/>
          <w:szCs w:val="32"/>
        </w:rPr>
        <w:t>的开支严格按照相关规定执行。决算数比 2019年减少7.83万元，原因是本年度公务用车任务虽然依然很重，但行车里程及加油量均有所减少。公务接待费9.34万元，完成年初预算18.00万元的52%，主要用于上级部门来访及检查工作的接待支出。决算数小于年初预算数的主要原因是严格按照公务接待费的流程及标准进行公务接待，严格做到不超标接待、不同城接待。决算数比 2019年增加2.92万元，原因是本年度中央、省级各项检查次数增加，接待人次有所增加，全年国内公务接待共97批次、958人次。</w:t>
      </w:r>
    </w:p>
    <w:p w14:paraId="3EEE419F" w14:textId="77777777" w:rsidR="008D68C9" w:rsidRDefault="00000000">
      <w:pPr>
        <w:numPr>
          <w:ilvl w:val="0"/>
          <w:numId w:val="2"/>
        </w:numPr>
        <w:ind w:firstLineChars="168" w:firstLine="538"/>
        <w:rPr>
          <w:rFonts w:ascii="仿宋" w:eastAsia="仿宋" w:hAnsi="仿宋" w:cs="仿宋"/>
          <w:color w:val="000000"/>
          <w:sz w:val="32"/>
          <w:szCs w:val="32"/>
        </w:rPr>
      </w:pPr>
      <w:r>
        <w:rPr>
          <w:rFonts w:ascii="仿宋" w:eastAsia="仿宋" w:hAnsi="仿宋" w:cs="仿宋" w:hint="eastAsia"/>
          <w:color w:val="000000"/>
          <w:sz w:val="32"/>
          <w:szCs w:val="32"/>
        </w:rPr>
        <w:t>、项目支出情况   本年度无项目支出。</w:t>
      </w:r>
    </w:p>
    <w:p w14:paraId="55583AF1" w14:textId="77777777" w:rsidR="008D68C9" w:rsidRDefault="00000000">
      <w:pPr>
        <w:pStyle w:val="4"/>
        <w:rPr>
          <w:sz w:val="32"/>
          <w:szCs w:val="32"/>
        </w:rPr>
      </w:pPr>
      <w:r>
        <w:rPr>
          <w:rFonts w:hint="eastAsia"/>
          <w:sz w:val="32"/>
          <w:szCs w:val="32"/>
        </w:rPr>
        <w:t xml:space="preserve">    </w:t>
      </w:r>
    </w:p>
    <w:p w14:paraId="34DA02A6" w14:textId="77777777" w:rsidR="008D68C9" w:rsidRDefault="00000000">
      <w:pPr>
        <w:numPr>
          <w:ilvl w:val="0"/>
          <w:numId w:val="3"/>
        </w:numPr>
        <w:spacing w:line="640" w:lineRule="exact"/>
        <w:ind w:left="630"/>
        <w:rPr>
          <w:rFonts w:ascii="黑体" w:eastAsia="黑体" w:hAnsi="黑体"/>
          <w:sz w:val="32"/>
          <w:szCs w:val="32"/>
        </w:rPr>
      </w:pPr>
      <w:r>
        <w:rPr>
          <w:rFonts w:ascii="黑体" w:eastAsia="黑体" w:hAnsi="黑体" w:hint="eastAsia"/>
          <w:sz w:val="32"/>
          <w:szCs w:val="32"/>
        </w:rPr>
        <w:t>政府性基金预算支出情况</w:t>
      </w:r>
    </w:p>
    <w:p w14:paraId="2AA45EA4" w14:textId="77777777" w:rsidR="008D68C9" w:rsidRDefault="00000000">
      <w:pPr>
        <w:pStyle w:val="4"/>
        <w:rPr>
          <w:rFonts w:ascii="仿宋" w:eastAsia="仿宋" w:hAnsi="仿宋" w:cs="仿宋"/>
          <w:b w:val="0"/>
          <w:bCs w:val="0"/>
          <w:color w:val="000000"/>
          <w:sz w:val="32"/>
          <w:szCs w:val="32"/>
        </w:rPr>
      </w:pPr>
      <w:r>
        <w:rPr>
          <w:rFonts w:hint="eastAsia"/>
          <w:sz w:val="32"/>
          <w:szCs w:val="32"/>
        </w:rPr>
        <w:lastRenderedPageBreak/>
        <w:t xml:space="preserve">    </w:t>
      </w:r>
      <w:r>
        <w:rPr>
          <w:rFonts w:ascii="仿宋" w:eastAsia="仿宋" w:hAnsi="仿宋" w:cs="仿宋" w:hint="eastAsia"/>
          <w:b w:val="0"/>
          <w:bCs w:val="0"/>
          <w:color w:val="000000"/>
          <w:sz w:val="32"/>
          <w:szCs w:val="32"/>
        </w:rPr>
        <w:t>政府性基金预算拨款250万元，用于防疫应急救灾物资采购。</w:t>
      </w:r>
    </w:p>
    <w:p w14:paraId="7ECF863A" w14:textId="77777777" w:rsidR="008D68C9" w:rsidRDefault="00000000">
      <w:pPr>
        <w:pStyle w:val="4"/>
        <w:numPr>
          <w:ilvl w:val="0"/>
          <w:numId w:val="3"/>
        </w:numPr>
        <w:ind w:left="630"/>
        <w:rPr>
          <w:rFonts w:ascii="黑体" w:hAnsi="黑体"/>
          <w:sz w:val="32"/>
          <w:szCs w:val="32"/>
        </w:rPr>
      </w:pPr>
      <w:r>
        <w:rPr>
          <w:rFonts w:ascii="黑体" w:hAnsi="黑体" w:hint="eastAsia"/>
          <w:sz w:val="32"/>
          <w:szCs w:val="32"/>
        </w:rPr>
        <w:t>国有资本经营预算支出情况</w:t>
      </w:r>
    </w:p>
    <w:p w14:paraId="7A5D584D" w14:textId="77777777" w:rsidR="008D68C9" w:rsidRDefault="00000000">
      <w:pPr>
        <w:rPr>
          <w:rFonts w:ascii="仿宋" w:eastAsia="仿宋" w:hAnsi="仿宋" w:cs="仿宋"/>
          <w:color w:val="000000"/>
          <w:sz w:val="32"/>
          <w:szCs w:val="32"/>
        </w:rPr>
      </w:pPr>
      <w:r>
        <w:rPr>
          <w:rFonts w:ascii="黑体" w:hAnsi="黑体" w:hint="eastAsia"/>
          <w:sz w:val="32"/>
          <w:szCs w:val="32"/>
        </w:rPr>
        <w:t xml:space="preserve">    </w:t>
      </w:r>
      <w:r>
        <w:rPr>
          <w:rFonts w:ascii="仿宋" w:eastAsia="仿宋" w:hAnsi="仿宋" w:cs="仿宋" w:hint="eastAsia"/>
          <w:color w:val="000000"/>
          <w:sz w:val="32"/>
          <w:szCs w:val="32"/>
        </w:rPr>
        <w:t>本年度无国有资本经营预算支出</w:t>
      </w:r>
    </w:p>
    <w:p w14:paraId="6A117E47" w14:textId="77777777" w:rsidR="008D68C9" w:rsidRDefault="00000000">
      <w:pPr>
        <w:pStyle w:val="4"/>
        <w:numPr>
          <w:ilvl w:val="0"/>
          <w:numId w:val="3"/>
        </w:numPr>
        <w:ind w:left="630"/>
        <w:rPr>
          <w:rFonts w:ascii="黑体" w:hAnsi="黑体"/>
          <w:sz w:val="32"/>
          <w:szCs w:val="32"/>
        </w:rPr>
      </w:pPr>
      <w:r>
        <w:rPr>
          <w:rFonts w:ascii="黑体" w:hAnsi="黑体" w:hint="eastAsia"/>
          <w:sz w:val="32"/>
          <w:szCs w:val="32"/>
        </w:rPr>
        <w:t>社会保险基金预算支出情况</w:t>
      </w:r>
    </w:p>
    <w:p w14:paraId="3C2650D2" w14:textId="77777777" w:rsidR="008D68C9" w:rsidRDefault="00000000">
      <w:pPr>
        <w:ind w:firstLineChars="168" w:firstLine="538"/>
        <w:rPr>
          <w:rFonts w:ascii="仿宋" w:eastAsia="仿宋" w:hAnsi="仿宋" w:cs="仿宋"/>
          <w:color w:val="000000"/>
          <w:sz w:val="32"/>
          <w:szCs w:val="32"/>
        </w:rPr>
      </w:pPr>
      <w:r>
        <w:rPr>
          <w:rFonts w:ascii="仿宋" w:eastAsia="仿宋" w:hAnsi="仿宋" w:cs="仿宋" w:hint="eastAsia"/>
          <w:color w:val="000000"/>
          <w:sz w:val="32"/>
          <w:szCs w:val="32"/>
        </w:rPr>
        <w:t>本年度无社会保险基金预算支出</w:t>
      </w:r>
    </w:p>
    <w:p w14:paraId="24F758C4" w14:textId="77777777" w:rsidR="008D68C9" w:rsidRDefault="00000000">
      <w:pPr>
        <w:pStyle w:val="4"/>
        <w:numPr>
          <w:ilvl w:val="0"/>
          <w:numId w:val="3"/>
        </w:numPr>
        <w:ind w:left="630"/>
        <w:rPr>
          <w:sz w:val="32"/>
          <w:szCs w:val="32"/>
        </w:rPr>
      </w:pPr>
      <w:r>
        <w:rPr>
          <w:rFonts w:hint="eastAsia"/>
          <w:sz w:val="32"/>
          <w:szCs w:val="32"/>
        </w:rPr>
        <w:t>部门整体支出绩效情况</w:t>
      </w:r>
    </w:p>
    <w:p w14:paraId="40150DD4" w14:textId="77777777" w:rsidR="008D68C9" w:rsidRDefault="00000000">
      <w:pPr>
        <w:adjustRightInd w:val="0"/>
        <w:snapToGrid w:val="0"/>
        <w:spacing w:line="640" w:lineRule="exact"/>
        <w:ind w:firstLineChars="200" w:firstLine="640"/>
        <w:rPr>
          <w:rStyle w:val="16"/>
          <w:rFonts w:eastAsia="仿宋_GB2312"/>
          <w:b w:val="0"/>
          <w:bCs w:val="0"/>
          <w:sz w:val="32"/>
          <w:szCs w:val="32"/>
        </w:rPr>
      </w:pPr>
      <w:r>
        <w:rPr>
          <w:rFonts w:eastAsia="仿宋_GB2312" w:hint="eastAsia"/>
          <w:sz w:val="32"/>
          <w:szCs w:val="32"/>
        </w:rPr>
        <w:t>2020</w:t>
      </w:r>
      <w:r>
        <w:rPr>
          <w:rFonts w:eastAsia="仿宋_GB2312" w:hint="eastAsia"/>
          <w:sz w:val="32"/>
          <w:szCs w:val="32"/>
        </w:rPr>
        <w:t>年整体支出绩效实施主要体现在当年发展与改革工作的具体任务中，主要做好了以下八项工作：</w:t>
      </w:r>
    </w:p>
    <w:p w14:paraId="02C04175" w14:textId="77777777" w:rsidR="008D68C9" w:rsidRDefault="00000000">
      <w:pPr>
        <w:adjustRightInd w:val="0"/>
        <w:snapToGrid w:val="0"/>
        <w:spacing w:line="640" w:lineRule="exact"/>
        <w:ind w:firstLineChars="200" w:firstLine="640"/>
        <w:rPr>
          <w:rStyle w:val="16"/>
          <w:rFonts w:eastAsia="仿宋_GB2312"/>
          <w:b w:val="0"/>
          <w:bCs w:val="0"/>
          <w:sz w:val="32"/>
          <w:szCs w:val="32"/>
        </w:rPr>
      </w:pPr>
      <w:r>
        <w:rPr>
          <w:rFonts w:ascii="楷体_GB2312" w:eastAsia="楷体_GB2312" w:hint="eastAsia"/>
          <w:sz w:val="32"/>
          <w:szCs w:val="32"/>
        </w:rPr>
        <w:t>（一）、</w:t>
      </w:r>
      <w:r>
        <w:rPr>
          <w:rFonts w:ascii="楷体_GB2312" w:eastAsia="楷体_GB2312" w:hint="eastAsia"/>
          <w:sz w:val="32"/>
          <w:szCs w:val="32"/>
          <w:shd w:val="clear" w:color="auto" w:fill="FFFFFF"/>
        </w:rPr>
        <w:t>战疫情促复工保供应，交出了疫情防控的优异答卷。</w:t>
      </w:r>
      <w:r>
        <w:rPr>
          <w:rFonts w:eastAsia="仿宋_GB2312" w:hint="eastAsia"/>
          <w:sz w:val="32"/>
          <w:szCs w:val="32"/>
        </w:rPr>
        <w:t>一是倾力服务疫情防控。强化口罩等物资生产调度，在较短时间内协调帮助四家企业新建口罩生产线，日产量</w:t>
      </w:r>
      <w:r>
        <w:rPr>
          <w:rFonts w:eastAsia="仿宋_GB2312"/>
          <w:sz w:val="32"/>
          <w:szCs w:val="32"/>
        </w:rPr>
        <w:t>300</w:t>
      </w:r>
      <w:r>
        <w:rPr>
          <w:rFonts w:eastAsia="仿宋_GB2312" w:hint="eastAsia"/>
          <w:sz w:val="32"/>
          <w:szCs w:val="32"/>
        </w:rPr>
        <w:t>万只。组织各区县在</w:t>
      </w:r>
      <w:r>
        <w:rPr>
          <w:rFonts w:eastAsia="仿宋_GB2312"/>
          <w:sz w:val="32"/>
          <w:szCs w:val="32"/>
        </w:rPr>
        <w:t>86</w:t>
      </w:r>
      <w:r>
        <w:rPr>
          <w:rFonts w:eastAsia="仿宋_GB2312" w:hint="eastAsia"/>
          <w:sz w:val="32"/>
          <w:szCs w:val="32"/>
        </w:rPr>
        <w:t>个药店每天投放</w:t>
      </w:r>
      <w:r>
        <w:rPr>
          <w:rFonts w:eastAsia="仿宋_GB2312"/>
          <w:sz w:val="32"/>
          <w:szCs w:val="32"/>
        </w:rPr>
        <w:t>5</w:t>
      </w:r>
      <w:r>
        <w:rPr>
          <w:rFonts w:eastAsia="仿宋_GB2312" w:hint="eastAsia"/>
          <w:sz w:val="32"/>
          <w:szCs w:val="32"/>
        </w:rPr>
        <w:t>万只一次性医用平价口罩，切实保障群众防疫物资需求。调拨应急救灾物资</w:t>
      </w:r>
      <w:r>
        <w:rPr>
          <w:rFonts w:eastAsia="仿宋_GB2312"/>
          <w:sz w:val="32"/>
          <w:szCs w:val="32"/>
        </w:rPr>
        <w:t>6</w:t>
      </w:r>
      <w:r>
        <w:rPr>
          <w:rFonts w:eastAsia="仿宋_GB2312" w:hint="eastAsia"/>
          <w:sz w:val="32"/>
          <w:szCs w:val="32"/>
        </w:rPr>
        <w:t>批次</w:t>
      </w:r>
      <w:r>
        <w:rPr>
          <w:rFonts w:eastAsia="仿宋_GB2312"/>
          <w:sz w:val="32"/>
          <w:szCs w:val="32"/>
        </w:rPr>
        <w:t>3325</w:t>
      </w:r>
      <w:r>
        <w:rPr>
          <w:rFonts w:eastAsia="仿宋_GB2312" w:hint="eastAsia"/>
          <w:sz w:val="32"/>
          <w:szCs w:val="32"/>
        </w:rPr>
        <w:t>件套，全力支援基层疫情防控工作。二是牵头组织复工复产。</w:t>
      </w:r>
      <w:r>
        <w:rPr>
          <w:rStyle w:val="15"/>
          <w:rFonts w:eastAsia="仿宋_GB2312" w:hint="eastAsia"/>
          <w:sz w:val="32"/>
          <w:szCs w:val="32"/>
        </w:rPr>
        <w:t>组建了市重点项目和企业复工复产领导小组办公室，实行</w:t>
      </w:r>
      <w:r>
        <w:rPr>
          <w:rStyle w:val="15"/>
          <w:rFonts w:eastAsia="仿宋_GB2312"/>
          <w:sz w:val="32"/>
          <w:szCs w:val="32"/>
        </w:rPr>
        <w:t>“</w:t>
      </w:r>
      <w:r>
        <w:rPr>
          <w:rStyle w:val="15"/>
          <w:rFonts w:eastAsia="仿宋_GB2312" w:hint="eastAsia"/>
          <w:sz w:val="32"/>
          <w:szCs w:val="32"/>
        </w:rPr>
        <w:t>一日</w:t>
      </w:r>
      <w:proofErr w:type="gramStart"/>
      <w:r>
        <w:rPr>
          <w:rStyle w:val="15"/>
          <w:rFonts w:eastAsia="仿宋_GB2312" w:hint="eastAsia"/>
          <w:sz w:val="32"/>
          <w:szCs w:val="32"/>
        </w:rPr>
        <w:t>一</w:t>
      </w:r>
      <w:proofErr w:type="gramEnd"/>
      <w:r>
        <w:rPr>
          <w:rStyle w:val="15"/>
          <w:rFonts w:eastAsia="仿宋_GB2312" w:hint="eastAsia"/>
          <w:sz w:val="32"/>
          <w:szCs w:val="32"/>
        </w:rPr>
        <w:t>调度、一日</w:t>
      </w:r>
      <w:proofErr w:type="gramStart"/>
      <w:r>
        <w:rPr>
          <w:rStyle w:val="15"/>
          <w:rFonts w:eastAsia="仿宋_GB2312" w:hint="eastAsia"/>
          <w:sz w:val="32"/>
          <w:szCs w:val="32"/>
        </w:rPr>
        <w:t>一</w:t>
      </w:r>
      <w:proofErr w:type="gramEnd"/>
      <w:r>
        <w:rPr>
          <w:rStyle w:val="15"/>
          <w:rFonts w:eastAsia="仿宋_GB2312" w:hint="eastAsia"/>
          <w:sz w:val="32"/>
          <w:szCs w:val="32"/>
        </w:rPr>
        <w:t>通报</w:t>
      </w:r>
      <w:r>
        <w:rPr>
          <w:rStyle w:val="15"/>
          <w:rFonts w:eastAsia="仿宋_GB2312"/>
          <w:sz w:val="32"/>
          <w:szCs w:val="32"/>
        </w:rPr>
        <w:t>”</w:t>
      </w:r>
      <w:r>
        <w:rPr>
          <w:rStyle w:val="15"/>
          <w:rFonts w:eastAsia="仿宋_GB2312" w:hint="eastAsia"/>
          <w:sz w:val="32"/>
          <w:szCs w:val="32"/>
        </w:rPr>
        <w:t>，</w:t>
      </w:r>
      <w:r>
        <w:rPr>
          <w:rFonts w:eastAsia="仿宋_GB2312" w:hint="eastAsia"/>
          <w:sz w:val="32"/>
          <w:szCs w:val="32"/>
        </w:rPr>
        <w:t>协调解决落实了丝路荷花国际文化产业园、红壁岩大桥、大庸古城等</w:t>
      </w:r>
      <w:r>
        <w:rPr>
          <w:rFonts w:eastAsia="仿宋_GB2312"/>
          <w:sz w:val="32"/>
          <w:szCs w:val="32"/>
        </w:rPr>
        <w:t>30</w:t>
      </w:r>
      <w:r>
        <w:rPr>
          <w:rFonts w:eastAsia="仿宋_GB2312" w:hint="eastAsia"/>
          <w:sz w:val="32"/>
          <w:szCs w:val="32"/>
        </w:rPr>
        <w:t>多个项目企业的防疫物资，为项目企业安全复工复产解除后顾之忧，用</w:t>
      </w:r>
      <w:r>
        <w:rPr>
          <w:rFonts w:eastAsia="仿宋_GB2312"/>
          <w:sz w:val="32"/>
          <w:szCs w:val="32"/>
        </w:rPr>
        <w:t>1</w:t>
      </w:r>
      <w:r>
        <w:rPr>
          <w:rFonts w:eastAsia="仿宋_GB2312" w:hint="eastAsia"/>
          <w:sz w:val="32"/>
          <w:szCs w:val="32"/>
        </w:rPr>
        <w:t>个多月时间推动应对疫情冲击的</w:t>
      </w:r>
      <w:r>
        <w:rPr>
          <w:rFonts w:eastAsia="仿宋_GB2312"/>
          <w:sz w:val="32"/>
          <w:szCs w:val="32"/>
        </w:rPr>
        <w:t>1637</w:t>
      </w:r>
      <w:r>
        <w:rPr>
          <w:rFonts w:eastAsia="仿宋_GB2312" w:hint="eastAsia"/>
          <w:sz w:val="32"/>
          <w:szCs w:val="32"/>
        </w:rPr>
        <w:t>家企业和</w:t>
      </w:r>
      <w:r>
        <w:rPr>
          <w:rFonts w:eastAsia="仿宋_GB2312"/>
          <w:sz w:val="32"/>
          <w:szCs w:val="32"/>
        </w:rPr>
        <w:t>214</w:t>
      </w:r>
      <w:r>
        <w:rPr>
          <w:rFonts w:eastAsia="仿宋_GB2312" w:hint="eastAsia"/>
          <w:sz w:val="32"/>
          <w:szCs w:val="32"/>
        </w:rPr>
        <w:t>个重点</w:t>
      </w:r>
      <w:proofErr w:type="gramStart"/>
      <w:r>
        <w:rPr>
          <w:rFonts w:eastAsia="仿宋_GB2312" w:hint="eastAsia"/>
          <w:sz w:val="32"/>
          <w:szCs w:val="32"/>
        </w:rPr>
        <w:t>项目满岗复工</w:t>
      </w:r>
      <w:proofErr w:type="gramEnd"/>
      <w:r>
        <w:rPr>
          <w:rFonts w:eastAsia="仿宋_GB2312" w:hint="eastAsia"/>
          <w:sz w:val="32"/>
          <w:szCs w:val="32"/>
        </w:rPr>
        <w:t>。三是落实助企</w:t>
      </w:r>
      <w:proofErr w:type="gramStart"/>
      <w:r>
        <w:rPr>
          <w:rFonts w:eastAsia="仿宋_GB2312" w:hint="eastAsia"/>
          <w:sz w:val="32"/>
          <w:szCs w:val="32"/>
        </w:rPr>
        <w:t>纾</w:t>
      </w:r>
      <w:proofErr w:type="gramEnd"/>
      <w:r>
        <w:rPr>
          <w:rFonts w:eastAsia="仿宋_GB2312" w:hint="eastAsia"/>
          <w:sz w:val="32"/>
          <w:szCs w:val="32"/>
        </w:rPr>
        <w:t>困政策。梳理国家、省、市应对新冠肺炎疫情促进企业复工复产政策</w:t>
      </w:r>
      <w:r>
        <w:rPr>
          <w:rFonts w:eastAsia="仿宋_GB2312"/>
          <w:sz w:val="32"/>
          <w:szCs w:val="32"/>
        </w:rPr>
        <w:lastRenderedPageBreak/>
        <w:t>100</w:t>
      </w:r>
      <w:r>
        <w:rPr>
          <w:rFonts w:eastAsia="仿宋_GB2312" w:hint="eastAsia"/>
          <w:sz w:val="32"/>
          <w:szCs w:val="32"/>
        </w:rPr>
        <w:t>项并对外发布。推动</w:t>
      </w:r>
      <w:r>
        <w:rPr>
          <w:rFonts w:eastAsia="仿宋_GB2312"/>
          <w:sz w:val="32"/>
          <w:szCs w:val="32"/>
        </w:rPr>
        <w:t>537</w:t>
      </w:r>
      <w:r>
        <w:rPr>
          <w:rFonts w:eastAsia="仿宋_GB2312" w:hint="eastAsia"/>
          <w:sz w:val="32"/>
          <w:szCs w:val="32"/>
        </w:rPr>
        <w:t>家企业与银行对接，达成意向贷款金额</w:t>
      </w:r>
      <w:r>
        <w:rPr>
          <w:rFonts w:eastAsia="仿宋_GB2312"/>
          <w:sz w:val="32"/>
          <w:szCs w:val="32"/>
        </w:rPr>
        <w:t>562.8</w:t>
      </w:r>
      <w:r>
        <w:rPr>
          <w:rFonts w:eastAsia="仿宋_GB2312" w:hint="eastAsia"/>
          <w:sz w:val="32"/>
          <w:szCs w:val="32"/>
        </w:rPr>
        <w:t>亿元。上报</w:t>
      </w:r>
      <w:r>
        <w:rPr>
          <w:rFonts w:eastAsia="仿宋_GB2312"/>
          <w:sz w:val="32"/>
          <w:szCs w:val="32"/>
        </w:rPr>
        <w:t>18</w:t>
      </w:r>
      <w:r>
        <w:rPr>
          <w:rFonts w:eastAsia="仿宋_GB2312" w:hint="eastAsia"/>
          <w:sz w:val="32"/>
          <w:szCs w:val="32"/>
        </w:rPr>
        <w:t>家疫情防控重点保障企业，发放贴息贷款</w:t>
      </w:r>
      <w:r>
        <w:rPr>
          <w:rFonts w:eastAsia="仿宋_GB2312"/>
          <w:sz w:val="32"/>
          <w:szCs w:val="32"/>
        </w:rPr>
        <w:t>7500</w:t>
      </w:r>
      <w:r>
        <w:rPr>
          <w:rFonts w:eastAsia="仿宋_GB2312" w:hint="eastAsia"/>
          <w:sz w:val="32"/>
          <w:szCs w:val="32"/>
        </w:rPr>
        <w:t>万元。建立了全国</w:t>
      </w:r>
      <w:proofErr w:type="gramStart"/>
      <w:r>
        <w:rPr>
          <w:rFonts w:eastAsia="仿宋_GB2312" w:hint="eastAsia"/>
          <w:sz w:val="32"/>
          <w:szCs w:val="32"/>
        </w:rPr>
        <w:t>信易贷平台</w:t>
      </w:r>
      <w:proofErr w:type="gramEnd"/>
      <w:r>
        <w:rPr>
          <w:rFonts w:eastAsia="仿宋_GB2312" w:hint="eastAsia"/>
          <w:sz w:val="32"/>
          <w:szCs w:val="32"/>
        </w:rPr>
        <w:t>张家界站，入驻企业</w:t>
      </w:r>
      <w:r>
        <w:rPr>
          <w:rFonts w:eastAsia="仿宋_GB2312"/>
          <w:sz w:val="32"/>
          <w:szCs w:val="32"/>
        </w:rPr>
        <w:t>50</w:t>
      </w:r>
      <w:r>
        <w:rPr>
          <w:rFonts w:eastAsia="仿宋_GB2312" w:hint="eastAsia"/>
          <w:sz w:val="32"/>
          <w:szCs w:val="32"/>
        </w:rPr>
        <w:t>家，累计发布</w:t>
      </w:r>
      <w:r>
        <w:rPr>
          <w:rFonts w:eastAsia="仿宋_GB2312"/>
          <w:sz w:val="32"/>
          <w:szCs w:val="32"/>
        </w:rPr>
        <w:t>33</w:t>
      </w:r>
      <w:r>
        <w:rPr>
          <w:rFonts w:eastAsia="仿宋_GB2312" w:hint="eastAsia"/>
          <w:sz w:val="32"/>
          <w:szCs w:val="32"/>
        </w:rPr>
        <w:t>笔</w:t>
      </w:r>
      <w:r>
        <w:rPr>
          <w:rFonts w:eastAsia="仿宋_GB2312"/>
          <w:sz w:val="32"/>
          <w:szCs w:val="32"/>
        </w:rPr>
        <w:t>1.17</w:t>
      </w:r>
      <w:r>
        <w:rPr>
          <w:rFonts w:eastAsia="仿宋_GB2312" w:hint="eastAsia"/>
          <w:sz w:val="32"/>
          <w:szCs w:val="32"/>
        </w:rPr>
        <w:t>亿融资需求。降低疫情期间企业生产成本，</w:t>
      </w:r>
      <w:r>
        <w:rPr>
          <w:rStyle w:val="16"/>
          <w:rFonts w:eastAsia="仿宋_GB2312" w:hint="eastAsia"/>
          <w:b w:val="0"/>
          <w:bCs w:val="0"/>
          <w:sz w:val="32"/>
          <w:szCs w:val="32"/>
        </w:rPr>
        <w:t>享受用水、用气、用电</w:t>
      </w:r>
      <w:r>
        <w:rPr>
          <w:rStyle w:val="16"/>
          <w:rFonts w:eastAsia="仿宋_GB2312"/>
          <w:b w:val="0"/>
          <w:bCs w:val="0"/>
          <w:sz w:val="32"/>
          <w:szCs w:val="32"/>
        </w:rPr>
        <w:t>“</w:t>
      </w:r>
      <w:r>
        <w:rPr>
          <w:rStyle w:val="16"/>
          <w:rFonts w:eastAsia="仿宋_GB2312" w:hint="eastAsia"/>
          <w:b w:val="0"/>
          <w:bCs w:val="0"/>
          <w:sz w:val="32"/>
          <w:szCs w:val="32"/>
        </w:rPr>
        <w:t>欠费</w:t>
      </w:r>
      <w:proofErr w:type="gramStart"/>
      <w:r>
        <w:rPr>
          <w:rStyle w:val="16"/>
          <w:rFonts w:eastAsia="仿宋_GB2312" w:hint="eastAsia"/>
          <w:b w:val="0"/>
          <w:bCs w:val="0"/>
          <w:sz w:val="32"/>
          <w:szCs w:val="32"/>
        </w:rPr>
        <w:t>不</w:t>
      </w:r>
      <w:proofErr w:type="gramEnd"/>
      <w:r>
        <w:rPr>
          <w:rStyle w:val="16"/>
          <w:rFonts w:eastAsia="仿宋_GB2312" w:hint="eastAsia"/>
          <w:b w:val="0"/>
          <w:bCs w:val="0"/>
          <w:sz w:val="32"/>
          <w:szCs w:val="32"/>
        </w:rPr>
        <w:t>停供</w:t>
      </w:r>
      <w:r>
        <w:rPr>
          <w:rStyle w:val="16"/>
          <w:rFonts w:eastAsia="仿宋_GB2312"/>
          <w:b w:val="0"/>
          <w:bCs w:val="0"/>
          <w:sz w:val="32"/>
          <w:szCs w:val="32"/>
        </w:rPr>
        <w:t>”</w:t>
      </w:r>
      <w:r>
        <w:rPr>
          <w:rStyle w:val="16"/>
          <w:rFonts w:eastAsia="仿宋_GB2312" w:hint="eastAsia"/>
          <w:b w:val="0"/>
          <w:bCs w:val="0"/>
          <w:sz w:val="32"/>
          <w:szCs w:val="32"/>
        </w:rPr>
        <w:t>企业</w:t>
      </w:r>
      <w:r>
        <w:rPr>
          <w:rStyle w:val="16"/>
          <w:rFonts w:eastAsia="仿宋_GB2312"/>
          <w:b w:val="0"/>
          <w:bCs w:val="0"/>
          <w:sz w:val="32"/>
          <w:szCs w:val="32"/>
        </w:rPr>
        <w:t>141</w:t>
      </w:r>
      <w:r>
        <w:rPr>
          <w:rStyle w:val="16"/>
          <w:rFonts w:eastAsia="仿宋_GB2312" w:hint="eastAsia"/>
          <w:b w:val="0"/>
          <w:bCs w:val="0"/>
          <w:sz w:val="32"/>
          <w:szCs w:val="32"/>
        </w:rPr>
        <w:t>家</w:t>
      </w:r>
      <w:r>
        <w:rPr>
          <w:rFonts w:eastAsia="仿宋_GB2312"/>
          <w:sz w:val="32"/>
          <w:szCs w:val="32"/>
        </w:rPr>
        <w:t>6.4</w:t>
      </w:r>
      <w:r>
        <w:rPr>
          <w:rFonts w:eastAsia="仿宋_GB2312" w:hint="eastAsia"/>
          <w:sz w:val="32"/>
          <w:szCs w:val="32"/>
        </w:rPr>
        <w:t>万户</w:t>
      </w:r>
      <w:r>
        <w:rPr>
          <w:rStyle w:val="16"/>
          <w:rFonts w:eastAsia="仿宋_GB2312" w:hint="eastAsia"/>
          <w:b w:val="0"/>
          <w:bCs w:val="0"/>
          <w:sz w:val="32"/>
          <w:szCs w:val="32"/>
        </w:rPr>
        <w:t>。</w:t>
      </w:r>
    </w:p>
    <w:p w14:paraId="249BC4E7" w14:textId="77777777" w:rsidR="008D68C9" w:rsidRDefault="00000000">
      <w:pPr>
        <w:spacing w:line="640" w:lineRule="exact"/>
        <w:ind w:firstLineChars="200" w:firstLine="640"/>
        <w:rPr>
          <w:rFonts w:eastAsia="仿宋_GB2312"/>
          <w:sz w:val="32"/>
          <w:szCs w:val="32"/>
          <w:shd w:val="clear" w:color="auto" w:fill="FFFFFF"/>
        </w:rPr>
      </w:pPr>
      <w:r>
        <w:rPr>
          <w:rFonts w:ascii="楷体_GB2312" w:eastAsia="楷体_GB2312" w:hint="eastAsia"/>
          <w:bCs/>
          <w:kern w:val="44"/>
          <w:sz w:val="32"/>
          <w:szCs w:val="32"/>
          <w:shd w:val="clear" w:color="auto" w:fill="FFFFFF"/>
        </w:rPr>
        <w:t>（二）、强统筹抓对接促发展，实现了经济运行逆境突围。</w:t>
      </w:r>
      <w:r>
        <w:rPr>
          <w:rFonts w:eastAsia="仿宋_GB2312" w:hint="eastAsia"/>
          <w:b/>
          <w:kern w:val="44"/>
          <w:sz w:val="32"/>
          <w:szCs w:val="32"/>
        </w:rPr>
        <w:t>一是</w:t>
      </w:r>
      <w:r>
        <w:rPr>
          <w:rFonts w:eastAsia="仿宋_GB2312" w:hint="eastAsia"/>
          <w:sz w:val="32"/>
          <w:szCs w:val="32"/>
        </w:rPr>
        <w:t>压实经济社会发展增速目标责任。牵头制定分行业、分季度整体应对新冠肺炎疫情促进经济社会发展的方案，及时分解落实主要经济指标任务。</w:t>
      </w:r>
      <w:r>
        <w:rPr>
          <w:rFonts w:eastAsia="仿宋_GB2312" w:hint="eastAsia"/>
          <w:b/>
          <w:kern w:val="44"/>
          <w:sz w:val="32"/>
          <w:szCs w:val="32"/>
        </w:rPr>
        <w:t>二是</w:t>
      </w:r>
      <w:r>
        <w:rPr>
          <w:rFonts w:eastAsia="仿宋_GB2312" w:hint="eastAsia"/>
          <w:sz w:val="32"/>
          <w:szCs w:val="32"/>
        </w:rPr>
        <w:t>建立张家界市服务高质量发展经济运行监测联席会议制度。定期组织开展经济运行、投资形势、应对新冠肺炎疫情影响分析，撰写了</w:t>
      </w:r>
      <w:r>
        <w:rPr>
          <w:rFonts w:eastAsia="仿宋_GB2312"/>
          <w:sz w:val="32"/>
          <w:szCs w:val="32"/>
        </w:rPr>
        <w:t>“</w:t>
      </w:r>
      <w:r>
        <w:rPr>
          <w:rFonts w:eastAsia="仿宋_GB2312" w:hint="eastAsia"/>
          <w:sz w:val="32"/>
          <w:szCs w:val="32"/>
        </w:rPr>
        <w:t>水电</w:t>
      </w:r>
      <w:proofErr w:type="gramStart"/>
      <w:r>
        <w:rPr>
          <w:rFonts w:eastAsia="仿宋_GB2312" w:hint="eastAsia"/>
          <w:sz w:val="32"/>
          <w:szCs w:val="32"/>
        </w:rPr>
        <w:t>气油</w:t>
      </w:r>
      <w:proofErr w:type="gramEnd"/>
      <w:r>
        <w:rPr>
          <w:rFonts w:eastAsia="仿宋_GB2312" w:hint="eastAsia"/>
          <w:sz w:val="32"/>
          <w:szCs w:val="32"/>
        </w:rPr>
        <w:t>储量和价格变化情况</w:t>
      </w:r>
      <w:r>
        <w:rPr>
          <w:rFonts w:eastAsia="仿宋_GB2312"/>
          <w:sz w:val="32"/>
          <w:szCs w:val="32"/>
        </w:rPr>
        <w:t>”“</w:t>
      </w:r>
      <w:r>
        <w:rPr>
          <w:rFonts w:eastAsia="仿宋_GB2312" w:hint="eastAsia"/>
          <w:sz w:val="32"/>
          <w:szCs w:val="32"/>
        </w:rPr>
        <w:t>生猪养殖产能</w:t>
      </w:r>
      <w:r>
        <w:rPr>
          <w:rFonts w:eastAsia="仿宋_GB2312"/>
          <w:sz w:val="32"/>
          <w:szCs w:val="32"/>
        </w:rPr>
        <w:t>”</w:t>
      </w:r>
      <w:r>
        <w:rPr>
          <w:rFonts w:eastAsia="仿宋_GB2312" w:hint="eastAsia"/>
          <w:sz w:val="32"/>
          <w:szCs w:val="32"/>
        </w:rPr>
        <w:t>等分析材料</w:t>
      </w:r>
      <w:r>
        <w:rPr>
          <w:rFonts w:eastAsia="仿宋_GB2312"/>
          <w:sz w:val="32"/>
          <w:szCs w:val="32"/>
        </w:rPr>
        <w:t>10</w:t>
      </w:r>
      <w:r>
        <w:rPr>
          <w:rFonts w:eastAsia="仿宋_GB2312" w:hint="eastAsia"/>
          <w:sz w:val="32"/>
          <w:szCs w:val="32"/>
        </w:rPr>
        <w:t>余篇，测算了</w:t>
      </w:r>
      <w:r>
        <w:rPr>
          <w:rFonts w:eastAsia="仿宋_GB2312"/>
          <w:sz w:val="32"/>
          <w:szCs w:val="32"/>
        </w:rPr>
        <w:t>“</w:t>
      </w:r>
      <w:r>
        <w:rPr>
          <w:rFonts w:eastAsia="仿宋_GB2312" w:hint="eastAsia"/>
          <w:sz w:val="32"/>
          <w:szCs w:val="32"/>
        </w:rPr>
        <w:t>十四五</w:t>
      </w:r>
      <w:r>
        <w:rPr>
          <w:rFonts w:eastAsia="仿宋_GB2312"/>
          <w:sz w:val="32"/>
          <w:szCs w:val="32"/>
        </w:rPr>
        <w:t>”</w:t>
      </w:r>
      <w:r>
        <w:rPr>
          <w:rFonts w:eastAsia="仿宋_GB2312" w:hint="eastAsia"/>
          <w:sz w:val="32"/>
          <w:szCs w:val="32"/>
        </w:rPr>
        <w:t>及</w:t>
      </w:r>
      <w:r>
        <w:rPr>
          <w:rFonts w:eastAsia="仿宋_GB2312"/>
          <w:sz w:val="32"/>
          <w:szCs w:val="32"/>
        </w:rPr>
        <w:t>2021</w:t>
      </w:r>
      <w:r>
        <w:rPr>
          <w:rFonts w:eastAsia="仿宋_GB2312" w:hint="eastAsia"/>
          <w:sz w:val="32"/>
          <w:szCs w:val="32"/>
        </w:rPr>
        <w:t>年主要经济指标，为市委、市政府科学决策提供了有效参考。</w:t>
      </w:r>
      <w:r>
        <w:rPr>
          <w:rFonts w:eastAsia="仿宋_GB2312" w:hint="eastAsia"/>
          <w:b/>
          <w:kern w:val="44"/>
          <w:sz w:val="32"/>
          <w:szCs w:val="32"/>
        </w:rPr>
        <w:t>三是</w:t>
      </w:r>
      <w:r>
        <w:rPr>
          <w:rFonts w:eastAsia="仿宋_GB2312" w:hint="eastAsia"/>
          <w:sz w:val="32"/>
          <w:szCs w:val="32"/>
        </w:rPr>
        <w:t>谋划推进</w:t>
      </w:r>
      <w:r>
        <w:rPr>
          <w:rFonts w:eastAsia="仿宋_GB2312"/>
          <w:sz w:val="32"/>
          <w:szCs w:val="32"/>
        </w:rPr>
        <w:t>“</w:t>
      </w:r>
      <w:r>
        <w:rPr>
          <w:rFonts w:eastAsia="仿宋_GB2312" w:hint="eastAsia"/>
          <w:sz w:val="32"/>
          <w:szCs w:val="32"/>
        </w:rPr>
        <w:t>六大工程</w:t>
      </w:r>
      <w:r>
        <w:rPr>
          <w:rFonts w:eastAsia="仿宋_GB2312"/>
          <w:sz w:val="32"/>
          <w:szCs w:val="32"/>
        </w:rPr>
        <w:t>”</w:t>
      </w:r>
      <w:r>
        <w:rPr>
          <w:rFonts w:eastAsia="仿宋_GB2312" w:hint="eastAsia"/>
          <w:sz w:val="32"/>
          <w:szCs w:val="32"/>
        </w:rPr>
        <w:t>秋季攻势。集中资源、集中力量发动</w:t>
      </w:r>
      <w:r>
        <w:rPr>
          <w:rFonts w:eastAsia="仿宋_GB2312"/>
          <w:sz w:val="32"/>
          <w:szCs w:val="32"/>
        </w:rPr>
        <w:t>“</w:t>
      </w:r>
      <w:r>
        <w:rPr>
          <w:rFonts w:eastAsia="仿宋_GB2312" w:hint="eastAsia"/>
          <w:sz w:val="32"/>
          <w:szCs w:val="32"/>
        </w:rPr>
        <w:t>六大工程</w:t>
      </w:r>
      <w:r>
        <w:rPr>
          <w:rFonts w:eastAsia="仿宋_GB2312"/>
          <w:sz w:val="32"/>
          <w:szCs w:val="32"/>
        </w:rPr>
        <w:t>”</w:t>
      </w:r>
      <w:r>
        <w:rPr>
          <w:rFonts w:eastAsia="仿宋_GB2312" w:hint="eastAsia"/>
          <w:sz w:val="32"/>
          <w:szCs w:val="32"/>
        </w:rPr>
        <w:t>秋季攻势专项行动，每周调度分析投资情况、形象进度、存在问题、建设成效情况，每月督查通报资金到位、拆迁进度、工作进展落实情况，推动全市地区生产总值前三季度增长</w:t>
      </w:r>
      <w:r>
        <w:rPr>
          <w:rFonts w:eastAsia="仿宋_GB2312"/>
          <w:sz w:val="32"/>
          <w:szCs w:val="32"/>
        </w:rPr>
        <w:t>0.1%</w:t>
      </w:r>
      <w:r>
        <w:rPr>
          <w:rFonts w:eastAsia="仿宋_GB2312" w:hint="eastAsia"/>
          <w:sz w:val="32"/>
          <w:szCs w:val="32"/>
        </w:rPr>
        <w:t>，与全国一道实现由负转正，全年地区生产总值增长</w:t>
      </w:r>
      <w:r>
        <w:rPr>
          <w:rFonts w:eastAsia="仿宋_GB2312"/>
          <w:sz w:val="32"/>
          <w:szCs w:val="32"/>
        </w:rPr>
        <w:t>2%</w:t>
      </w:r>
      <w:r>
        <w:rPr>
          <w:rFonts w:eastAsia="仿宋_GB2312" w:hint="eastAsia"/>
          <w:sz w:val="32"/>
          <w:szCs w:val="32"/>
        </w:rPr>
        <w:t>，农业总产值增长</w:t>
      </w:r>
      <w:r>
        <w:rPr>
          <w:rFonts w:eastAsia="仿宋_GB2312"/>
          <w:sz w:val="32"/>
          <w:szCs w:val="32"/>
        </w:rPr>
        <w:t>3.9%</w:t>
      </w:r>
      <w:r>
        <w:rPr>
          <w:rFonts w:eastAsia="仿宋_GB2312" w:hint="eastAsia"/>
          <w:sz w:val="32"/>
          <w:szCs w:val="32"/>
        </w:rPr>
        <w:t>，规模工业增加值增长</w:t>
      </w:r>
      <w:r>
        <w:rPr>
          <w:rFonts w:eastAsia="仿宋_GB2312"/>
          <w:sz w:val="32"/>
          <w:szCs w:val="32"/>
        </w:rPr>
        <w:t>2.9%</w:t>
      </w:r>
      <w:r>
        <w:rPr>
          <w:rFonts w:eastAsia="仿宋_GB2312" w:hint="eastAsia"/>
          <w:sz w:val="32"/>
          <w:szCs w:val="32"/>
        </w:rPr>
        <w:t>，固定资产投资增长</w:t>
      </w:r>
      <w:r>
        <w:rPr>
          <w:rFonts w:eastAsia="仿宋_GB2312"/>
          <w:sz w:val="32"/>
          <w:szCs w:val="32"/>
        </w:rPr>
        <w:t>6%</w:t>
      </w:r>
      <w:r>
        <w:rPr>
          <w:rFonts w:eastAsia="仿宋_GB2312" w:hint="eastAsia"/>
          <w:sz w:val="32"/>
          <w:szCs w:val="32"/>
        </w:rPr>
        <w:t>，全年主要经济指标实现了预期目标。</w:t>
      </w:r>
      <w:r>
        <w:rPr>
          <w:rFonts w:eastAsia="仿宋_GB2312"/>
          <w:sz w:val="32"/>
          <w:szCs w:val="32"/>
          <w:shd w:val="clear" w:color="auto" w:fill="FFFFFF"/>
        </w:rPr>
        <w:t xml:space="preserve">  </w:t>
      </w:r>
    </w:p>
    <w:p w14:paraId="06DD8985" w14:textId="77777777" w:rsidR="008D68C9" w:rsidRDefault="00000000">
      <w:pPr>
        <w:spacing w:line="640" w:lineRule="exact"/>
        <w:ind w:firstLineChars="200" w:firstLine="640"/>
        <w:rPr>
          <w:rFonts w:eastAsia="仿宋_GB2312"/>
          <w:sz w:val="32"/>
          <w:szCs w:val="32"/>
          <w:shd w:val="clear" w:color="auto" w:fill="FFFFFF"/>
        </w:rPr>
      </w:pPr>
      <w:r>
        <w:rPr>
          <w:rFonts w:ascii="楷体_GB2312" w:eastAsia="楷体_GB2312" w:hint="eastAsia"/>
          <w:bCs/>
          <w:kern w:val="44"/>
          <w:sz w:val="32"/>
          <w:szCs w:val="32"/>
          <w:shd w:val="clear" w:color="auto" w:fill="FFFFFF"/>
        </w:rPr>
        <w:lastRenderedPageBreak/>
        <w:t>（三）、观大势谋长远绘蓝图，取得了一批新的重大突破。</w:t>
      </w:r>
      <w:r>
        <w:rPr>
          <w:rFonts w:eastAsia="仿宋_GB2312" w:hint="eastAsia"/>
          <w:b/>
          <w:kern w:val="44"/>
          <w:sz w:val="32"/>
          <w:szCs w:val="32"/>
        </w:rPr>
        <w:t>一是</w:t>
      </w:r>
      <w:r>
        <w:rPr>
          <w:rFonts w:eastAsia="仿宋_GB2312" w:hint="eastAsia"/>
          <w:sz w:val="32"/>
          <w:szCs w:val="32"/>
        </w:rPr>
        <w:t>着眼发展新形势对接重大项目政策。先后赴宜昌市、石门县对接张石铁路建设，陪同市委市政府主要领导赴</w:t>
      </w:r>
      <w:proofErr w:type="gramStart"/>
      <w:r>
        <w:rPr>
          <w:rFonts w:eastAsia="仿宋_GB2312" w:hint="eastAsia"/>
          <w:sz w:val="32"/>
          <w:szCs w:val="32"/>
        </w:rPr>
        <w:t>国家发改委</w:t>
      </w:r>
      <w:proofErr w:type="gramEnd"/>
      <w:r>
        <w:rPr>
          <w:rFonts w:eastAsia="仿宋_GB2312" w:hint="eastAsia"/>
          <w:sz w:val="32"/>
          <w:szCs w:val="32"/>
        </w:rPr>
        <w:t>、国铁集团、中铁</w:t>
      </w:r>
      <w:r>
        <w:rPr>
          <w:rFonts w:eastAsia="仿宋_GB2312" w:hint="eastAsia"/>
          <w:kern w:val="0"/>
          <w:sz w:val="32"/>
          <w:szCs w:val="32"/>
        </w:rPr>
        <w:t>经</w:t>
      </w:r>
      <w:proofErr w:type="gramStart"/>
      <w:r>
        <w:rPr>
          <w:rFonts w:eastAsia="仿宋_GB2312" w:hint="eastAsia"/>
          <w:kern w:val="0"/>
          <w:sz w:val="32"/>
          <w:szCs w:val="32"/>
        </w:rPr>
        <w:t>规</w:t>
      </w:r>
      <w:proofErr w:type="gramEnd"/>
      <w:r>
        <w:rPr>
          <w:rFonts w:eastAsia="仿宋_GB2312" w:hint="eastAsia"/>
          <w:kern w:val="0"/>
          <w:sz w:val="32"/>
          <w:szCs w:val="32"/>
        </w:rPr>
        <w:t>院汇报对接铁路、旅游高质量发展综合改革试点、革命老区建设等事宜，积极推进张石铁路、安恩张铁路等纳入国家铁路建设</w:t>
      </w:r>
      <w:r>
        <w:rPr>
          <w:rFonts w:eastAsia="仿宋_GB2312"/>
          <w:kern w:val="0"/>
          <w:sz w:val="32"/>
          <w:szCs w:val="32"/>
        </w:rPr>
        <w:t>“</w:t>
      </w:r>
      <w:r>
        <w:rPr>
          <w:rFonts w:eastAsia="仿宋_GB2312" w:hint="eastAsia"/>
          <w:kern w:val="0"/>
          <w:sz w:val="32"/>
          <w:szCs w:val="32"/>
        </w:rPr>
        <w:t>十四五</w:t>
      </w:r>
      <w:r>
        <w:rPr>
          <w:rFonts w:eastAsia="仿宋_GB2312"/>
          <w:kern w:val="0"/>
          <w:sz w:val="32"/>
          <w:szCs w:val="32"/>
        </w:rPr>
        <w:t>”</w:t>
      </w:r>
      <w:r>
        <w:rPr>
          <w:rFonts w:eastAsia="仿宋_GB2312" w:hint="eastAsia"/>
          <w:kern w:val="0"/>
          <w:sz w:val="32"/>
          <w:szCs w:val="32"/>
        </w:rPr>
        <w:t>规划，张家界参与西部陆海新通道建设获得</w:t>
      </w:r>
      <w:proofErr w:type="gramStart"/>
      <w:r>
        <w:rPr>
          <w:rFonts w:eastAsia="仿宋_GB2312" w:hint="eastAsia"/>
          <w:kern w:val="0"/>
          <w:sz w:val="32"/>
          <w:szCs w:val="32"/>
        </w:rPr>
        <w:t>国省支持</w:t>
      </w:r>
      <w:proofErr w:type="gramEnd"/>
      <w:r>
        <w:rPr>
          <w:rFonts w:eastAsia="仿宋_GB2312" w:hint="eastAsia"/>
          <w:sz w:val="32"/>
          <w:szCs w:val="32"/>
        </w:rPr>
        <w:t>。</w:t>
      </w:r>
      <w:r>
        <w:rPr>
          <w:rFonts w:eastAsia="仿宋_GB2312" w:hint="eastAsia"/>
          <w:b/>
          <w:kern w:val="44"/>
          <w:sz w:val="32"/>
          <w:szCs w:val="32"/>
        </w:rPr>
        <w:t>二是</w:t>
      </w:r>
      <w:r>
        <w:rPr>
          <w:rFonts w:eastAsia="仿宋_GB2312" w:hint="eastAsia"/>
          <w:sz w:val="32"/>
          <w:szCs w:val="32"/>
        </w:rPr>
        <w:t>立足新阶段编制规划。编制完成《</w:t>
      </w:r>
      <w:r>
        <w:rPr>
          <w:rFonts w:eastAsia="仿宋_GB2312"/>
          <w:sz w:val="32"/>
          <w:szCs w:val="32"/>
        </w:rPr>
        <w:t>“</w:t>
      </w:r>
      <w:r>
        <w:rPr>
          <w:rFonts w:eastAsia="仿宋_GB2312" w:hint="eastAsia"/>
          <w:sz w:val="32"/>
          <w:szCs w:val="32"/>
        </w:rPr>
        <w:t>十四五</w:t>
      </w:r>
      <w:r>
        <w:rPr>
          <w:rFonts w:eastAsia="仿宋_GB2312"/>
          <w:sz w:val="32"/>
          <w:szCs w:val="32"/>
        </w:rPr>
        <w:t>”</w:t>
      </w:r>
      <w:r>
        <w:rPr>
          <w:rFonts w:eastAsia="仿宋_GB2312" w:hint="eastAsia"/>
          <w:sz w:val="32"/>
          <w:szCs w:val="32"/>
        </w:rPr>
        <w:t>规划和</w:t>
      </w:r>
      <w:r>
        <w:rPr>
          <w:rFonts w:eastAsia="仿宋_GB2312"/>
          <w:sz w:val="32"/>
          <w:szCs w:val="32"/>
        </w:rPr>
        <w:t>2035</w:t>
      </w:r>
      <w:r>
        <w:rPr>
          <w:rFonts w:eastAsia="仿宋_GB2312" w:hint="eastAsia"/>
          <w:sz w:val="32"/>
          <w:szCs w:val="32"/>
        </w:rPr>
        <w:t>年远景目标纲要》，明确了</w:t>
      </w:r>
      <w:r>
        <w:rPr>
          <w:rFonts w:eastAsia="仿宋_GB2312"/>
          <w:sz w:val="32"/>
          <w:szCs w:val="32"/>
        </w:rPr>
        <w:t>“</w:t>
      </w:r>
      <w:r>
        <w:rPr>
          <w:rFonts w:eastAsia="仿宋_GB2312" w:hint="eastAsia"/>
          <w:sz w:val="32"/>
          <w:szCs w:val="32"/>
        </w:rPr>
        <w:t>坚持建设国内外知名的旅游胜地目标不动摇，努力打造</w:t>
      </w:r>
      <w:r>
        <w:rPr>
          <w:rFonts w:eastAsia="仿宋_GB2312"/>
          <w:sz w:val="32"/>
          <w:szCs w:val="32"/>
        </w:rPr>
        <w:t>‘</w:t>
      </w:r>
      <w:r>
        <w:rPr>
          <w:rFonts w:eastAsia="仿宋_GB2312" w:hint="eastAsia"/>
          <w:sz w:val="32"/>
          <w:szCs w:val="32"/>
        </w:rPr>
        <w:t>两地两区一龙头一家园</w:t>
      </w:r>
      <w:r>
        <w:rPr>
          <w:rFonts w:eastAsia="仿宋_GB2312"/>
          <w:sz w:val="32"/>
          <w:szCs w:val="32"/>
        </w:rPr>
        <w:t>’”</w:t>
      </w:r>
      <w:r>
        <w:rPr>
          <w:rFonts w:eastAsia="仿宋_GB2312" w:hint="eastAsia"/>
          <w:sz w:val="32"/>
          <w:szCs w:val="32"/>
        </w:rPr>
        <w:t>的战略定位。发布实施招商引资产业发展、</w:t>
      </w:r>
      <w:proofErr w:type="gramStart"/>
      <w:r>
        <w:rPr>
          <w:rFonts w:eastAsia="仿宋_GB2312" w:hint="eastAsia"/>
          <w:sz w:val="32"/>
          <w:szCs w:val="32"/>
        </w:rPr>
        <w:t>空铁新城</w:t>
      </w:r>
      <w:proofErr w:type="gramEnd"/>
      <w:r>
        <w:rPr>
          <w:rFonts w:eastAsia="仿宋_GB2312" w:hint="eastAsia"/>
          <w:sz w:val="32"/>
          <w:szCs w:val="32"/>
        </w:rPr>
        <w:t>产业发展、特色产业小镇发展、现代物流业发展等一批专项规划。</w:t>
      </w:r>
      <w:r>
        <w:rPr>
          <w:rFonts w:eastAsia="仿宋_GB2312" w:hint="eastAsia"/>
          <w:b/>
          <w:kern w:val="44"/>
          <w:sz w:val="32"/>
          <w:szCs w:val="32"/>
        </w:rPr>
        <w:t>三是</w:t>
      </w:r>
      <w:r>
        <w:rPr>
          <w:rFonts w:eastAsia="仿宋_GB2312" w:hint="eastAsia"/>
          <w:sz w:val="32"/>
          <w:szCs w:val="32"/>
        </w:rPr>
        <w:t>着眼发展新要求研究出台政策举措。起草了《张家界市通用航空业发展规划》及《张家界通用航空业发展实施方案》，完成了</w:t>
      </w:r>
      <w:r>
        <w:rPr>
          <w:rFonts w:eastAsia="仿宋_GB2312"/>
          <w:sz w:val="32"/>
          <w:szCs w:val="32"/>
        </w:rPr>
        <w:t>“</w:t>
      </w:r>
      <w:r>
        <w:rPr>
          <w:rFonts w:eastAsia="仿宋_GB2312" w:hint="eastAsia"/>
          <w:sz w:val="32"/>
          <w:szCs w:val="32"/>
        </w:rPr>
        <w:t>城市精明增长</w:t>
      </w:r>
      <w:r>
        <w:rPr>
          <w:rFonts w:eastAsia="仿宋_GB2312"/>
          <w:sz w:val="32"/>
          <w:szCs w:val="32"/>
        </w:rPr>
        <w:t>”“</w:t>
      </w:r>
      <w:r>
        <w:rPr>
          <w:rFonts w:eastAsia="仿宋_GB2312" w:hint="eastAsia"/>
          <w:sz w:val="32"/>
          <w:szCs w:val="32"/>
        </w:rPr>
        <w:t>总部经济</w:t>
      </w:r>
      <w:r>
        <w:rPr>
          <w:rFonts w:eastAsia="仿宋_GB2312"/>
          <w:sz w:val="32"/>
          <w:szCs w:val="32"/>
        </w:rPr>
        <w:t>”“</w:t>
      </w:r>
      <w:r>
        <w:rPr>
          <w:rFonts w:eastAsia="仿宋_GB2312" w:hint="eastAsia"/>
          <w:sz w:val="32"/>
          <w:szCs w:val="32"/>
        </w:rPr>
        <w:t>新经济</w:t>
      </w:r>
      <w:r>
        <w:rPr>
          <w:rFonts w:eastAsia="仿宋_GB2312"/>
          <w:sz w:val="32"/>
          <w:szCs w:val="32"/>
        </w:rPr>
        <w:t>”“</w:t>
      </w:r>
      <w:r>
        <w:rPr>
          <w:rFonts w:eastAsia="仿宋_GB2312" w:hint="eastAsia"/>
          <w:sz w:val="32"/>
          <w:szCs w:val="32"/>
        </w:rPr>
        <w:t>五小企业</w:t>
      </w:r>
      <w:r>
        <w:rPr>
          <w:rFonts w:eastAsia="仿宋_GB2312"/>
          <w:sz w:val="32"/>
          <w:szCs w:val="32"/>
        </w:rPr>
        <w:t>”</w:t>
      </w:r>
      <w:r>
        <w:rPr>
          <w:rFonts w:eastAsia="仿宋_GB2312" w:hint="eastAsia"/>
          <w:sz w:val="32"/>
          <w:szCs w:val="32"/>
        </w:rPr>
        <w:t>等课题研究。出台了优化营商环境促进产业高质量发展意见，民用建筑通信设施建设场地使用费（试行）标准，</w:t>
      </w:r>
      <w:r>
        <w:rPr>
          <w:rFonts w:eastAsia="仿宋_GB2312" w:hint="eastAsia"/>
          <w:kern w:val="0"/>
          <w:sz w:val="32"/>
          <w:szCs w:val="32"/>
        </w:rPr>
        <w:t>市本级政府投资项目审批、概算及实施管理</w:t>
      </w:r>
      <w:r>
        <w:rPr>
          <w:rFonts w:eastAsia="仿宋_GB2312" w:hint="eastAsia"/>
          <w:sz w:val="32"/>
          <w:szCs w:val="32"/>
        </w:rPr>
        <w:t>等系列政策文件，及时有效的将市委市政府战略意图转化为行动纲领。</w:t>
      </w:r>
    </w:p>
    <w:p w14:paraId="7BF17540" w14:textId="77777777" w:rsidR="008D68C9" w:rsidRDefault="00000000">
      <w:pPr>
        <w:spacing w:line="640" w:lineRule="exact"/>
        <w:ind w:firstLineChars="200" w:firstLine="640"/>
        <w:rPr>
          <w:rFonts w:eastAsia="仿宋_GB2312"/>
          <w:sz w:val="32"/>
          <w:szCs w:val="32"/>
          <w:shd w:val="clear" w:color="auto" w:fill="FFFFFF"/>
        </w:rPr>
      </w:pPr>
      <w:r>
        <w:rPr>
          <w:rFonts w:ascii="楷体_GB2312" w:eastAsia="楷体_GB2312" w:hint="eastAsia"/>
          <w:bCs/>
          <w:kern w:val="44"/>
          <w:sz w:val="32"/>
          <w:szCs w:val="32"/>
          <w:shd w:val="clear" w:color="auto" w:fill="FFFFFF"/>
        </w:rPr>
        <w:t>（四）、抓调度争资金提效能，推进了一批重大项目落地见效。</w:t>
      </w:r>
      <w:r>
        <w:rPr>
          <w:rFonts w:eastAsia="仿宋_GB2312" w:hint="eastAsia"/>
          <w:b/>
          <w:kern w:val="44"/>
          <w:sz w:val="32"/>
          <w:szCs w:val="32"/>
        </w:rPr>
        <w:t>一是</w:t>
      </w:r>
      <w:proofErr w:type="gramStart"/>
      <w:r>
        <w:rPr>
          <w:rFonts w:eastAsia="仿宋_GB2312" w:hint="eastAsia"/>
          <w:sz w:val="32"/>
          <w:szCs w:val="32"/>
        </w:rPr>
        <w:t>争资跑项取得</w:t>
      </w:r>
      <w:proofErr w:type="gramEnd"/>
      <w:r>
        <w:rPr>
          <w:rFonts w:eastAsia="仿宋_GB2312" w:hint="eastAsia"/>
          <w:sz w:val="32"/>
          <w:szCs w:val="32"/>
        </w:rPr>
        <w:t>重大突破。</w:t>
      </w:r>
      <w:r>
        <w:rPr>
          <w:rFonts w:eastAsia="仿宋_GB2312" w:hint="eastAsia"/>
          <w:kern w:val="0"/>
          <w:sz w:val="32"/>
          <w:szCs w:val="32"/>
        </w:rPr>
        <w:t>对</w:t>
      </w:r>
      <w:proofErr w:type="gramStart"/>
      <w:r>
        <w:rPr>
          <w:rFonts w:eastAsia="仿宋_GB2312" w:hint="eastAsia"/>
          <w:kern w:val="0"/>
          <w:sz w:val="32"/>
          <w:szCs w:val="32"/>
        </w:rPr>
        <w:t>标国省投资方</w:t>
      </w:r>
      <w:proofErr w:type="gramEnd"/>
      <w:r>
        <w:rPr>
          <w:rFonts w:eastAsia="仿宋_GB2312" w:hint="eastAsia"/>
          <w:kern w:val="0"/>
          <w:sz w:val="32"/>
          <w:szCs w:val="32"/>
        </w:rPr>
        <w:t>向，</w:t>
      </w:r>
      <w:r>
        <w:rPr>
          <w:rFonts w:eastAsia="仿宋_GB2312" w:hint="eastAsia"/>
          <w:sz w:val="32"/>
          <w:szCs w:val="32"/>
        </w:rPr>
        <w:t>紧盯产业</w:t>
      </w:r>
      <w:r>
        <w:rPr>
          <w:rFonts w:eastAsia="仿宋_GB2312" w:hint="eastAsia"/>
          <w:sz w:val="32"/>
          <w:szCs w:val="32"/>
        </w:rPr>
        <w:lastRenderedPageBreak/>
        <w:t>发展动向，加强</w:t>
      </w:r>
      <w:proofErr w:type="gramStart"/>
      <w:r>
        <w:rPr>
          <w:rFonts w:eastAsia="仿宋_GB2312" w:hint="eastAsia"/>
          <w:sz w:val="32"/>
          <w:szCs w:val="32"/>
        </w:rPr>
        <w:t>研</w:t>
      </w:r>
      <w:proofErr w:type="gramEnd"/>
      <w:r>
        <w:rPr>
          <w:rFonts w:eastAsia="仿宋_GB2312" w:hint="eastAsia"/>
          <w:sz w:val="32"/>
          <w:szCs w:val="32"/>
        </w:rPr>
        <w:t>判和包装运作，</w:t>
      </w:r>
      <w:r>
        <w:rPr>
          <w:rFonts w:eastAsia="仿宋_GB2312" w:hint="eastAsia"/>
          <w:kern w:val="0"/>
          <w:sz w:val="32"/>
          <w:szCs w:val="32"/>
        </w:rPr>
        <w:t>编制</w:t>
      </w:r>
      <w:r>
        <w:rPr>
          <w:rFonts w:eastAsia="仿宋_GB2312"/>
          <w:kern w:val="0"/>
          <w:sz w:val="32"/>
          <w:szCs w:val="32"/>
        </w:rPr>
        <w:t>5</w:t>
      </w:r>
      <w:r>
        <w:rPr>
          <w:rFonts w:eastAsia="仿宋_GB2312" w:hint="eastAsia"/>
          <w:kern w:val="0"/>
          <w:sz w:val="32"/>
          <w:szCs w:val="32"/>
        </w:rPr>
        <w:t>类</w:t>
      </w:r>
      <w:proofErr w:type="gramStart"/>
      <w:r>
        <w:rPr>
          <w:rFonts w:eastAsia="仿宋_GB2312" w:hint="eastAsia"/>
          <w:kern w:val="0"/>
          <w:sz w:val="32"/>
          <w:szCs w:val="32"/>
        </w:rPr>
        <w:t>争资跑项项目</w:t>
      </w:r>
      <w:proofErr w:type="gramEnd"/>
      <w:r>
        <w:rPr>
          <w:rFonts w:eastAsia="仿宋_GB2312" w:hint="eastAsia"/>
          <w:kern w:val="0"/>
          <w:sz w:val="32"/>
          <w:szCs w:val="32"/>
        </w:rPr>
        <w:t>清单，开发储备了</w:t>
      </w:r>
      <w:r>
        <w:rPr>
          <w:rFonts w:eastAsia="仿宋_GB2312" w:hint="eastAsia"/>
          <w:sz w:val="32"/>
          <w:szCs w:val="32"/>
        </w:rPr>
        <w:t>向上争项</w:t>
      </w:r>
      <w:proofErr w:type="gramStart"/>
      <w:r>
        <w:rPr>
          <w:rFonts w:eastAsia="仿宋_GB2312" w:hint="eastAsia"/>
          <w:sz w:val="32"/>
          <w:szCs w:val="32"/>
        </w:rPr>
        <w:t>争资重大</w:t>
      </w:r>
      <w:proofErr w:type="gramEnd"/>
      <w:r>
        <w:rPr>
          <w:rFonts w:eastAsia="仿宋_GB2312" w:hint="eastAsia"/>
          <w:sz w:val="32"/>
          <w:szCs w:val="32"/>
        </w:rPr>
        <w:t>项目</w:t>
      </w:r>
      <w:r>
        <w:rPr>
          <w:rFonts w:eastAsia="仿宋_GB2312"/>
          <w:sz w:val="32"/>
          <w:szCs w:val="32"/>
        </w:rPr>
        <w:t>267</w:t>
      </w:r>
      <w:r>
        <w:rPr>
          <w:rFonts w:eastAsia="仿宋_GB2312" w:hint="eastAsia"/>
          <w:sz w:val="32"/>
          <w:szCs w:val="32"/>
        </w:rPr>
        <w:t>个，全力争取中央、省预算内资金和专项债券项目资金</w:t>
      </w:r>
      <w:r>
        <w:rPr>
          <w:rFonts w:eastAsia="仿宋_GB2312"/>
          <w:sz w:val="32"/>
          <w:szCs w:val="32"/>
        </w:rPr>
        <w:t>47.12</w:t>
      </w:r>
      <w:r>
        <w:rPr>
          <w:rFonts w:eastAsia="仿宋_GB2312" w:hint="eastAsia"/>
          <w:sz w:val="32"/>
          <w:szCs w:val="32"/>
        </w:rPr>
        <w:t>亿元，较</w:t>
      </w:r>
      <w:r>
        <w:rPr>
          <w:rFonts w:eastAsia="仿宋_GB2312"/>
          <w:sz w:val="32"/>
          <w:szCs w:val="32"/>
        </w:rPr>
        <w:t>2019</w:t>
      </w:r>
      <w:r>
        <w:rPr>
          <w:rFonts w:eastAsia="仿宋_GB2312" w:hint="eastAsia"/>
          <w:sz w:val="32"/>
          <w:szCs w:val="32"/>
        </w:rPr>
        <w:t>年</w:t>
      </w:r>
      <w:r>
        <w:rPr>
          <w:rFonts w:eastAsia="仿宋_GB2312"/>
          <w:sz w:val="32"/>
          <w:szCs w:val="32"/>
        </w:rPr>
        <w:t>20.31</w:t>
      </w:r>
      <w:r>
        <w:rPr>
          <w:rFonts w:eastAsia="仿宋_GB2312" w:hint="eastAsia"/>
          <w:sz w:val="32"/>
          <w:szCs w:val="32"/>
        </w:rPr>
        <w:t>亿元增加了</w:t>
      </w:r>
      <w:r>
        <w:rPr>
          <w:rFonts w:eastAsia="仿宋_GB2312"/>
          <w:sz w:val="32"/>
          <w:szCs w:val="32"/>
        </w:rPr>
        <w:t>26.81</w:t>
      </w:r>
      <w:r>
        <w:rPr>
          <w:rFonts w:eastAsia="仿宋_GB2312" w:hint="eastAsia"/>
          <w:sz w:val="32"/>
          <w:szCs w:val="32"/>
        </w:rPr>
        <w:t>亿元，增长率</w:t>
      </w:r>
      <w:r>
        <w:rPr>
          <w:rFonts w:eastAsia="仿宋_GB2312"/>
          <w:sz w:val="32"/>
          <w:szCs w:val="32"/>
        </w:rPr>
        <w:t>232%</w:t>
      </w:r>
      <w:r>
        <w:rPr>
          <w:rFonts w:eastAsia="仿宋_GB2312" w:hint="eastAsia"/>
          <w:sz w:val="32"/>
          <w:szCs w:val="32"/>
        </w:rPr>
        <w:t>，为历年来最高水平。</w:t>
      </w:r>
      <w:r>
        <w:rPr>
          <w:rFonts w:eastAsia="仿宋_GB2312" w:hint="eastAsia"/>
          <w:b/>
          <w:kern w:val="44"/>
          <w:sz w:val="32"/>
          <w:szCs w:val="32"/>
        </w:rPr>
        <w:t>二是</w:t>
      </w:r>
      <w:r>
        <w:rPr>
          <w:rFonts w:eastAsia="仿宋_GB2312" w:hint="eastAsia"/>
          <w:sz w:val="32"/>
          <w:szCs w:val="32"/>
        </w:rPr>
        <w:t>项目建设取得重大进展。市委、市政府准确</w:t>
      </w:r>
      <w:proofErr w:type="gramStart"/>
      <w:r>
        <w:rPr>
          <w:rFonts w:eastAsia="仿宋_GB2312" w:hint="eastAsia"/>
          <w:sz w:val="32"/>
          <w:szCs w:val="32"/>
        </w:rPr>
        <w:t>研</w:t>
      </w:r>
      <w:proofErr w:type="gramEnd"/>
      <w:r>
        <w:rPr>
          <w:rFonts w:eastAsia="仿宋_GB2312" w:hint="eastAsia"/>
          <w:sz w:val="32"/>
          <w:szCs w:val="32"/>
        </w:rPr>
        <w:t>判形势、科学决策应对，自加压力做出</w:t>
      </w:r>
      <w:r>
        <w:rPr>
          <w:rFonts w:eastAsia="仿宋_GB2312"/>
          <w:sz w:val="32"/>
          <w:szCs w:val="32"/>
        </w:rPr>
        <w:t>“</w:t>
      </w:r>
      <w:r>
        <w:rPr>
          <w:rFonts w:eastAsia="仿宋_GB2312" w:hint="eastAsia"/>
          <w:sz w:val="32"/>
          <w:szCs w:val="32"/>
        </w:rPr>
        <w:t>消费不足投资补，努力实现市重点项目完成投资</w:t>
      </w:r>
      <w:r>
        <w:rPr>
          <w:rFonts w:eastAsia="仿宋_GB2312"/>
          <w:sz w:val="32"/>
          <w:szCs w:val="32"/>
        </w:rPr>
        <w:t>280</w:t>
      </w:r>
      <w:r>
        <w:rPr>
          <w:rFonts w:eastAsia="仿宋_GB2312" w:hint="eastAsia"/>
          <w:sz w:val="32"/>
          <w:szCs w:val="32"/>
        </w:rPr>
        <w:t>亿元，省重点项目完成年底任务</w:t>
      </w:r>
      <w:r>
        <w:rPr>
          <w:rFonts w:eastAsia="仿宋_GB2312"/>
          <w:sz w:val="32"/>
          <w:szCs w:val="32"/>
        </w:rPr>
        <w:t>150%”</w:t>
      </w:r>
      <w:r>
        <w:rPr>
          <w:rFonts w:eastAsia="仿宋_GB2312" w:hint="eastAsia"/>
          <w:sz w:val="32"/>
          <w:szCs w:val="32"/>
        </w:rPr>
        <w:t>的工作部署，</w:t>
      </w:r>
      <w:r>
        <w:rPr>
          <w:rFonts w:eastAsia="仿宋_GB2312" w:hint="eastAsia"/>
          <w:bCs/>
          <w:sz w:val="32"/>
          <w:szCs w:val="32"/>
        </w:rPr>
        <w:t>及时成立了应对新冠疫情促进经济高质量发展工作指挥部，</w:t>
      </w:r>
      <w:r>
        <w:rPr>
          <w:rFonts w:eastAsia="仿宋_GB2312" w:hint="eastAsia"/>
          <w:sz w:val="32"/>
          <w:szCs w:val="32"/>
          <w:shd w:val="clear" w:color="auto" w:fill="FFFFFF"/>
        </w:rPr>
        <w:t>分</w:t>
      </w:r>
      <w:r>
        <w:rPr>
          <w:rFonts w:eastAsia="仿宋_GB2312"/>
          <w:sz w:val="32"/>
          <w:szCs w:val="32"/>
          <w:shd w:val="clear" w:color="auto" w:fill="FFFFFF"/>
        </w:rPr>
        <w:t>5</w:t>
      </w:r>
      <w:r>
        <w:rPr>
          <w:rFonts w:eastAsia="仿宋_GB2312" w:hint="eastAsia"/>
          <w:sz w:val="32"/>
          <w:szCs w:val="32"/>
          <w:shd w:val="clear" w:color="auto" w:fill="FFFFFF"/>
        </w:rPr>
        <w:t>批推动</w:t>
      </w:r>
      <w:r>
        <w:rPr>
          <w:rFonts w:eastAsia="仿宋_GB2312"/>
          <w:sz w:val="32"/>
          <w:szCs w:val="32"/>
          <w:shd w:val="clear" w:color="auto" w:fill="FFFFFF"/>
        </w:rPr>
        <w:t>68</w:t>
      </w:r>
      <w:r>
        <w:rPr>
          <w:rFonts w:eastAsia="仿宋_GB2312" w:hint="eastAsia"/>
          <w:sz w:val="32"/>
          <w:szCs w:val="32"/>
          <w:shd w:val="clear" w:color="auto" w:fill="FFFFFF"/>
        </w:rPr>
        <w:t>个重点项目集中开工建设，新开工投资</w:t>
      </w:r>
      <w:r>
        <w:rPr>
          <w:rFonts w:eastAsia="仿宋_GB2312"/>
          <w:sz w:val="32"/>
          <w:szCs w:val="32"/>
          <w:shd w:val="clear" w:color="auto" w:fill="FFFFFF"/>
        </w:rPr>
        <w:t>5000</w:t>
      </w:r>
      <w:r>
        <w:rPr>
          <w:rFonts w:eastAsia="仿宋_GB2312" w:hint="eastAsia"/>
          <w:sz w:val="32"/>
          <w:szCs w:val="32"/>
          <w:shd w:val="clear" w:color="auto" w:fill="FFFFFF"/>
        </w:rPr>
        <w:t>万元以上重大项目</w:t>
      </w:r>
      <w:r>
        <w:rPr>
          <w:rFonts w:eastAsia="仿宋_GB2312"/>
          <w:sz w:val="32"/>
          <w:szCs w:val="32"/>
          <w:shd w:val="clear" w:color="auto" w:fill="FFFFFF"/>
        </w:rPr>
        <w:t>118</w:t>
      </w:r>
      <w:r>
        <w:rPr>
          <w:rFonts w:eastAsia="仿宋_GB2312" w:hint="eastAsia"/>
          <w:sz w:val="32"/>
          <w:szCs w:val="32"/>
          <w:shd w:val="clear" w:color="auto" w:fill="FFFFFF"/>
        </w:rPr>
        <w:t>个，</w:t>
      </w:r>
      <w:r>
        <w:rPr>
          <w:rFonts w:eastAsia="仿宋_GB2312"/>
          <w:sz w:val="32"/>
          <w:szCs w:val="32"/>
        </w:rPr>
        <w:t>293</w:t>
      </w:r>
      <w:r>
        <w:rPr>
          <w:rFonts w:eastAsia="仿宋_GB2312" w:hint="eastAsia"/>
          <w:sz w:val="32"/>
          <w:szCs w:val="32"/>
        </w:rPr>
        <w:t>个中央、省预算内投资、专项债券和抗</w:t>
      </w:r>
      <w:proofErr w:type="gramStart"/>
      <w:r>
        <w:rPr>
          <w:rFonts w:eastAsia="仿宋_GB2312" w:hint="eastAsia"/>
          <w:sz w:val="32"/>
          <w:szCs w:val="32"/>
        </w:rPr>
        <w:t>疫</w:t>
      </w:r>
      <w:proofErr w:type="gramEnd"/>
      <w:r>
        <w:rPr>
          <w:rFonts w:eastAsia="仿宋_GB2312" w:hint="eastAsia"/>
          <w:sz w:val="32"/>
          <w:szCs w:val="32"/>
        </w:rPr>
        <w:t>国债项目全部开工建设，是历年来项目开工最多的一年。</w:t>
      </w:r>
      <w:proofErr w:type="gramStart"/>
      <w:r>
        <w:rPr>
          <w:rFonts w:eastAsia="仿宋_GB2312" w:hint="eastAsia"/>
          <w:sz w:val="32"/>
          <w:szCs w:val="32"/>
        </w:rPr>
        <w:t>桑龙高速</w:t>
      </w:r>
      <w:proofErr w:type="gramEnd"/>
      <w:r>
        <w:rPr>
          <w:rFonts w:eastAsia="仿宋_GB2312" w:hint="eastAsia"/>
          <w:sz w:val="32"/>
          <w:szCs w:val="32"/>
        </w:rPr>
        <w:t>、</w:t>
      </w:r>
      <w:proofErr w:type="gramStart"/>
      <w:r>
        <w:rPr>
          <w:rFonts w:eastAsia="仿宋_GB2312" w:hint="eastAsia"/>
          <w:sz w:val="32"/>
          <w:szCs w:val="32"/>
        </w:rPr>
        <w:t>炉慈高速</w:t>
      </w:r>
      <w:proofErr w:type="gramEnd"/>
      <w:r>
        <w:rPr>
          <w:rFonts w:eastAsia="仿宋_GB2312" w:hint="eastAsia"/>
          <w:sz w:val="32"/>
          <w:szCs w:val="32"/>
        </w:rPr>
        <w:t>、张官高速、荷花国际机场高架桥、新松机器人欢乐城、药王谷中医健康产业园、</w:t>
      </w:r>
      <w:r>
        <w:rPr>
          <w:rFonts w:eastAsia="仿宋_GB2312"/>
          <w:sz w:val="32"/>
          <w:szCs w:val="32"/>
        </w:rPr>
        <w:t>5G</w:t>
      </w:r>
      <w:r>
        <w:rPr>
          <w:rFonts w:eastAsia="仿宋_GB2312" w:hint="eastAsia"/>
          <w:sz w:val="32"/>
          <w:szCs w:val="32"/>
        </w:rPr>
        <w:t>等一批重大项目相继开工建设，</w:t>
      </w:r>
      <w:proofErr w:type="gramStart"/>
      <w:r>
        <w:rPr>
          <w:rFonts w:eastAsia="仿宋_GB2312" w:hint="eastAsia"/>
          <w:sz w:val="32"/>
          <w:szCs w:val="32"/>
        </w:rPr>
        <w:t>安慈高速</w:t>
      </w:r>
      <w:proofErr w:type="gramEnd"/>
      <w:r>
        <w:rPr>
          <w:rFonts w:eastAsia="仿宋_GB2312" w:hint="eastAsia"/>
          <w:sz w:val="32"/>
          <w:szCs w:val="32"/>
        </w:rPr>
        <w:t>慈利至石门段、红壁岩大桥、茅溪河大桥等一批基础设施项目建成通车，市新人民医院、雨露学校、慈利芙蓉学校等一批社会民生项目建成使用。</w:t>
      </w:r>
      <w:r>
        <w:rPr>
          <w:rFonts w:eastAsia="仿宋_GB2312"/>
          <w:sz w:val="32"/>
          <w:szCs w:val="32"/>
        </w:rPr>
        <w:t>26</w:t>
      </w:r>
      <w:r>
        <w:rPr>
          <w:rFonts w:eastAsia="仿宋_GB2312" w:hint="eastAsia"/>
          <w:sz w:val="32"/>
          <w:szCs w:val="32"/>
        </w:rPr>
        <w:t>个省重点项目完成投资</w:t>
      </w:r>
      <w:r>
        <w:rPr>
          <w:rFonts w:eastAsia="仿宋_GB2312"/>
          <w:sz w:val="32"/>
          <w:szCs w:val="32"/>
        </w:rPr>
        <w:t>72.9</w:t>
      </w:r>
      <w:r>
        <w:rPr>
          <w:rFonts w:eastAsia="仿宋_GB2312" w:hint="eastAsia"/>
          <w:sz w:val="32"/>
          <w:szCs w:val="32"/>
        </w:rPr>
        <w:t>亿元，</w:t>
      </w:r>
      <w:r>
        <w:rPr>
          <w:rFonts w:eastAsia="仿宋_GB2312"/>
          <w:sz w:val="32"/>
          <w:szCs w:val="32"/>
        </w:rPr>
        <w:t>141</w:t>
      </w:r>
      <w:r>
        <w:rPr>
          <w:rFonts w:eastAsia="仿宋_GB2312" w:hint="eastAsia"/>
          <w:sz w:val="32"/>
          <w:szCs w:val="32"/>
        </w:rPr>
        <w:t>个市实施重点项目完成投资</w:t>
      </w:r>
      <w:r>
        <w:rPr>
          <w:rFonts w:eastAsia="仿宋_GB2312"/>
          <w:sz w:val="32"/>
          <w:szCs w:val="32"/>
        </w:rPr>
        <w:t>286</w:t>
      </w:r>
      <w:r>
        <w:rPr>
          <w:rFonts w:eastAsia="仿宋_GB2312" w:hint="eastAsia"/>
          <w:sz w:val="32"/>
          <w:szCs w:val="32"/>
        </w:rPr>
        <w:t>亿元，省</w:t>
      </w:r>
      <w:r>
        <w:rPr>
          <w:rFonts w:eastAsia="仿宋_GB2312"/>
          <w:sz w:val="32"/>
          <w:szCs w:val="32"/>
        </w:rPr>
        <w:t>“</w:t>
      </w:r>
      <w:r>
        <w:rPr>
          <w:rFonts w:eastAsia="仿宋_GB2312" w:hint="eastAsia"/>
          <w:sz w:val="32"/>
          <w:szCs w:val="32"/>
        </w:rPr>
        <w:t>五个</w:t>
      </w:r>
      <w:r>
        <w:rPr>
          <w:rFonts w:eastAsia="仿宋_GB2312"/>
          <w:sz w:val="32"/>
          <w:szCs w:val="32"/>
        </w:rPr>
        <w:t>100”</w:t>
      </w:r>
      <w:r>
        <w:rPr>
          <w:rFonts w:eastAsia="仿宋_GB2312" w:hint="eastAsia"/>
          <w:sz w:val="32"/>
          <w:szCs w:val="32"/>
        </w:rPr>
        <w:t>项目完成投资</w:t>
      </w:r>
      <w:r>
        <w:rPr>
          <w:rFonts w:eastAsia="仿宋_GB2312"/>
          <w:sz w:val="32"/>
          <w:szCs w:val="32"/>
        </w:rPr>
        <w:t>30.57</w:t>
      </w:r>
      <w:r>
        <w:rPr>
          <w:rFonts w:eastAsia="仿宋_GB2312" w:hint="eastAsia"/>
          <w:sz w:val="32"/>
          <w:szCs w:val="32"/>
        </w:rPr>
        <w:t>亿元，市</w:t>
      </w:r>
      <w:r>
        <w:rPr>
          <w:rFonts w:eastAsia="仿宋_GB2312"/>
          <w:sz w:val="32"/>
          <w:szCs w:val="32"/>
        </w:rPr>
        <w:t>“52151”</w:t>
      </w:r>
      <w:r>
        <w:rPr>
          <w:rFonts w:eastAsia="仿宋_GB2312" w:hint="eastAsia"/>
          <w:sz w:val="32"/>
          <w:szCs w:val="32"/>
        </w:rPr>
        <w:t>项目完成投资</w:t>
      </w:r>
      <w:r>
        <w:rPr>
          <w:rFonts w:eastAsia="仿宋_GB2312"/>
          <w:sz w:val="32"/>
          <w:szCs w:val="32"/>
        </w:rPr>
        <w:t>117.2</w:t>
      </w:r>
      <w:r>
        <w:rPr>
          <w:rFonts w:eastAsia="仿宋_GB2312" w:hint="eastAsia"/>
          <w:sz w:val="32"/>
          <w:szCs w:val="32"/>
        </w:rPr>
        <w:t>亿元，均超额完成年度目标任务。桑植县在全市项目建设观摩会上获得区县测评第一。在省市重点项目带动下，全市固定资产投资增长</w:t>
      </w:r>
      <w:r>
        <w:rPr>
          <w:rFonts w:eastAsia="仿宋_GB2312"/>
          <w:sz w:val="32"/>
          <w:szCs w:val="32"/>
        </w:rPr>
        <w:t>6%</w:t>
      </w:r>
      <w:r>
        <w:rPr>
          <w:rFonts w:eastAsia="仿宋_GB2312" w:hint="eastAsia"/>
          <w:sz w:val="32"/>
          <w:szCs w:val="32"/>
        </w:rPr>
        <w:t>，</w:t>
      </w:r>
      <w:r>
        <w:rPr>
          <w:rFonts w:eastAsia="仿宋_GB2312" w:hint="eastAsia"/>
          <w:sz w:val="32"/>
          <w:szCs w:val="32"/>
        </w:rPr>
        <w:lastRenderedPageBreak/>
        <w:t>连续六个月</w:t>
      </w:r>
      <w:proofErr w:type="gramStart"/>
      <w:r>
        <w:rPr>
          <w:rFonts w:eastAsia="仿宋_GB2312" w:hint="eastAsia"/>
          <w:sz w:val="32"/>
          <w:szCs w:val="32"/>
        </w:rPr>
        <w:t>保持正</w:t>
      </w:r>
      <w:proofErr w:type="gramEnd"/>
      <w:r>
        <w:rPr>
          <w:rFonts w:eastAsia="仿宋_GB2312" w:hint="eastAsia"/>
          <w:sz w:val="32"/>
          <w:szCs w:val="32"/>
        </w:rPr>
        <w:t>增长，其中永定区、桑植</w:t>
      </w:r>
      <w:proofErr w:type="gramStart"/>
      <w:r>
        <w:rPr>
          <w:rFonts w:eastAsia="仿宋_GB2312" w:hint="eastAsia"/>
          <w:sz w:val="32"/>
          <w:szCs w:val="32"/>
        </w:rPr>
        <w:t>县固投增速</w:t>
      </w:r>
      <w:proofErr w:type="gramEnd"/>
      <w:r>
        <w:rPr>
          <w:rFonts w:eastAsia="仿宋_GB2312" w:hint="eastAsia"/>
          <w:sz w:val="32"/>
          <w:szCs w:val="32"/>
        </w:rPr>
        <w:t>分别增长</w:t>
      </w:r>
      <w:r>
        <w:rPr>
          <w:rFonts w:eastAsia="仿宋_GB2312"/>
          <w:sz w:val="32"/>
          <w:szCs w:val="32"/>
        </w:rPr>
        <w:t>14.5%</w:t>
      </w:r>
      <w:r>
        <w:rPr>
          <w:rFonts w:eastAsia="仿宋_GB2312" w:hint="eastAsia"/>
          <w:sz w:val="32"/>
          <w:szCs w:val="32"/>
        </w:rPr>
        <w:t>，</w:t>
      </w:r>
      <w:r>
        <w:rPr>
          <w:rFonts w:eastAsia="仿宋_GB2312"/>
          <w:sz w:val="32"/>
          <w:szCs w:val="32"/>
        </w:rPr>
        <w:t>14.1%</w:t>
      </w:r>
      <w:r>
        <w:rPr>
          <w:rFonts w:eastAsia="仿宋_GB2312" w:hint="eastAsia"/>
          <w:sz w:val="32"/>
          <w:szCs w:val="32"/>
        </w:rPr>
        <w:t>，位居全市前列。</w:t>
      </w:r>
      <w:r>
        <w:rPr>
          <w:rFonts w:eastAsia="仿宋_GB2312" w:hint="eastAsia"/>
          <w:b/>
          <w:kern w:val="44"/>
          <w:sz w:val="32"/>
          <w:szCs w:val="32"/>
        </w:rPr>
        <w:t>三是</w:t>
      </w:r>
      <w:r>
        <w:rPr>
          <w:rFonts w:eastAsia="仿宋_GB2312" w:hint="eastAsia"/>
          <w:sz w:val="32"/>
          <w:szCs w:val="32"/>
        </w:rPr>
        <w:t>园区发展取得积极成效。加强对园区的指导和服务，推动市高新区与慈利工业园、桑植工业区联动发展，新竣工标准厂房面积</w:t>
      </w:r>
      <w:r>
        <w:rPr>
          <w:rFonts w:eastAsia="仿宋_GB2312"/>
          <w:sz w:val="32"/>
          <w:szCs w:val="32"/>
        </w:rPr>
        <w:t>6</w:t>
      </w:r>
      <w:r>
        <w:rPr>
          <w:rFonts w:eastAsia="仿宋_GB2312" w:hint="eastAsia"/>
          <w:sz w:val="32"/>
          <w:szCs w:val="32"/>
        </w:rPr>
        <w:t>万平方米，入园企业</w:t>
      </w:r>
      <w:r>
        <w:rPr>
          <w:rFonts w:eastAsia="仿宋_GB2312"/>
          <w:sz w:val="32"/>
          <w:szCs w:val="32"/>
        </w:rPr>
        <w:t>266</w:t>
      </w:r>
      <w:r>
        <w:rPr>
          <w:rFonts w:eastAsia="仿宋_GB2312" w:hint="eastAsia"/>
          <w:sz w:val="32"/>
          <w:szCs w:val="32"/>
        </w:rPr>
        <w:t>家，全年申报认定</w:t>
      </w:r>
      <w:r>
        <w:rPr>
          <w:rFonts w:eastAsia="仿宋_GB2312"/>
          <w:sz w:val="32"/>
          <w:szCs w:val="32"/>
        </w:rPr>
        <w:t>36</w:t>
      </w:r>
      <w:r>
        <w:rPr>
          <w:rFonts w:eastAsia="仿宋_GB2312" w:hint="eastAsia"/>
          <w:sz w:val="32"/>
          <w:szCs w:val="32"/>
        </w:rPr>
        <w:t>家省级高新技术企业，入库科技型中小企业</w:t>
      </w:r>
      <w:r>
        <w:rPr>
          <w:rFonts w:eastAsia="仿宋_GB2312"/>
          <w:sz w:val="32"/>
          <w:szCs w:val="32"/>
        </w:rPr>
        <w:t>139</w:t>
      </w:r>
      <w:r>
        <w:rPr>
          <w:rFonts w:eastAsia="仿宋_GB2312" w:hint="eastAsia"/>
          <w:sz w:val="32"/>
          <w:szCs w:val="32"/>
        </w:rPr>
        <w:t>家，培育认定</w:t>
      </w:r>
      <w:r>
        <w:rPr>
          <w:rFonts w:eastAsia="仿宋_GB2312"/>
          <w:sz w:val="32"/>
          <w:szCs w:val="32"/>
        </w:rPr>
        <w:t>“</w:t>
      </w:r>
      <w:r>
        <w:rPr>
          <w:rFonts w:eastAsia="仿宋_GB2312" w:hint="eastAsia"/>
          <w:sz w:val="32"/>
          <w:szCs w:val="32"/>
        </w:rPr>
        <w:t>小新星</w:t>
      </w:r>
      <w:r>
        <w:rPr>
          <w:rFonts w:eastAsia="仿宋_GB2312"/>
          <w:sz w:val="32"/>
          <w:szCs w:val="32"/>
        </w:rPr>
        <w:t>”</w:t>
      </w:r>
      <w:r>
        <w:rPr>
          <w:rFonts w:eastAsia="仿宋_GB2312" w:hint="eastAsia"/>
          <w:sz w:val="32"/>
          <w:szCs w:val="32"/>
        </w:rPr>
        <w:t>企业</w:t>
      </w:r>
      <w:r>
        <w:rPr>
          <w:rFonts w:eastAsia="仿宋_GB2312"/>
          <w:sz w:val="32"/>
          <w:szCs w:val="32"/>
        </w:rPr>
        <w:t>100</w:t>
      </w:r>
      <w:r>
        <w:rPr>
          <w:rFonts w:eastAsia="仿宋_GB2312" w:hint="eastAsia"/>
          <w:sz w:val="32"/>
          <w:szCs w:val="32"/>
        </w:rPr>
        <w:t>家，完成</w:t>
      </w:r>
      <w:r>
        <w:rPr>
          <w:rFonts w:eastAsia="仿宋_GB2312"/>
          <w:sz w:val="32"/>
          <w:szCs w:val="32"/>
        </w:rPr>
        <w:t>“</w:t>
      </w:r>
      <w:r>
        <w:rPr>
          <w:rFonts w:eastAsia="仿宋_GB2312" w:hint="eastAsia"/>
          <w:sz w:val="32"/>
          <w:szCs w:val="32"/>
        </w:rPr>
        <w:t>个转企</w:t>
      </w:r>
      <w:r>
        <w:rPr>
          <w:rFonts w:eastAsia="仿宋_GB2312"/>
          <w:sz w:val="32"/>
          <w:szCs w:val="32"/>
        </w:rPr>
        <w:t>”551</w:t>
      </w:r>
      <w:r>
        <w:rPr>
          <w:rFonts w:eastAsia="仿宋_GB2312" w:hint="eastAsia"/>
          <w:sz w:val="32"/>
          <w:szCs w:val="32"/>
        </w:rPr>
        <w:t>户，</w:t>
      </w:r>
      <w:r>
        <w:rPr>
          <w:rFonts w:eastAsia="仿宋_GB2312"/>
          <w:sz w:val="32"/>
          <w:szCs w:val="32"/>
        </w:rPr>
        <w:t>“</w:t>
      </w:r>
      <w:r>
        <w:rPr>
          <w:rFonts w:eastAsia="仿宋_GB2312" w:hint="eastAsia"/>
          <w:sz w:val="32"/>
          <w:szCs w:val="32"/>
        </w:rPr>
        <w:t>小升规</w:t>
      </w:r>
      <w:r>
        <w:rPr>
          <w:rFonts w:eastAsia="仿宋_GB2312"/>
          <w:sz w:val="32"/>
          <w:szCs w:val="32"/>
        </w:rPr>
        <w:t>”82</w:t>
      </w:r>
      <w:r>
        <w:rPr>
          <w:rFonts w:eastAsia="仿宋_GB2312" w:hint="eastAsia"/>
          <w:sz w:val="32"/>
          <w:szCs w:val="32"/>
        </w:rPr>
        <w:t>户。推荐</w:t>
      </w:r>
      <w:r>
        <w:rPr>
          <w:rFonts w:eastAsia="仿宋_GB2312" w:hint="eastAsia"/>
          <w:sz w:val="32"/>
          <w:szCs w:val="32"/>
          <w:shd w:val="clear" w:color="FFFFFF" w:fill="auto"/>
        </w:rPr>
        <w:t>慈利工业集中区获得</w:t>
      </w:r>
      <w:r>
        <w:rPr>
          <w:rFonts w:eastAsia="仿宋_GB2312"/>
          <w:sz w:val="32"/>
          <w:szCs w:val="32"/>
          <w:shd w:val="clear" w:color="FFFFFF" w:fill="auto"/>
        </w:rPr>
        <w:t>“</w:t>
      </w:r>
      <w:r>
        <w:rPr>
          <w:rFonts w:eastAsia="仿宋_GB2312" w:hint="eastAsia"/>
          <w:sz w:val="32"/>
          <w:szCs w:val="32"/>
          <w:shd w:val="clear" w:color="FFFFFF" w:fill="auto"/>
        </w:rPr>
        <w:t>省政府真抓实干奖励</w:t>
      </w:r>
      <w:r>
        <w:rPr>
          <w:rFonts w:eastAsia="仿宋_GB2312"/>
          <w:sz w:val="32"/>
          <w:szCs w:val="32"/>
          <w:shd w:val="clear" w:color="FFFFFF" w:fill="auto"/>
        </w:rPr>
        <w:t>”</w:t>
      </w:r>
      <w:r>
        <w:rPr>
          <w:rFonts w:eastAsia="仿宋_GB2312" w:hint="eastAsia"/>
          <w:sz w:val="32"/>
          <w:szCs w:val="32"/>
        </w:rPr>
        <w:t>。</w:t>
      </w:r>
    </w:p>
    <w:p w14:paraId="792C1274" w14:textId="77777777" w:rsidR="008D68C9" w:rsidRDefault="00000000">
      <w:pPr>
        <w:autoSpaceDE w:val="0"/>
        <w:spacing w:line="640" w:lineRule="exact"/>
        <w:ind w:firstLineChars="200" w:firstLine="640"/>
        <w:rPr>
          <w:rFonts w:eastAsia="仿宋_GB2312"/>
          <w:sz w:val="32"/>
          <w:szCs w:val="32"/>
          <w:shd w:val="clear" w:color="auto" w:fill="FFFFFF"/>
        </w:rPr>
      </w:pPr>
      <w:r>
        <w:rPr>
          <w:rFonts w:ascii="楷体_GB2312" w:eastAsia="楷体_GB2312" w:hint="eastAsia"/>
          <w:bCs/>
          <w:kern w:val="44"/>
          <w:sz w:val="32"/>
          <w:szCs w:val="32"/>
          <w:shd w:val="clear" w:color="auto" w:fill="FFFFFF"/>
        </w:rPr>
        <w:t>（五）、</w:t>
      </w:r>
      <w:proofErr w:type="gramStart"/>
      <w:r>
        <w:rPr>
          <w:rFonts w:ascii="楷体_GB2312" w:eastAsia="楷体_GB2312" w:hint="eastAsia"/>
          <w:bCs/>
          <w:kern w:val="44"/>
          <w:sz w:val="32"/>
          <w:szCs w:val="32"/>
          <w:shd w:val="clear" w:color="auto" w:fill="FFFFFF"/>
        </w:rPr>
        <w:t>强机制</w:t>
      </w:r>
      <w:proofErr w:type="gramEnd"/>
      <w:r>
        <w:rPr>
          <w:rFonts w:ascii="楷体_GB2312" w:eastAsia="楷体_GB2312" w:hint="eastAsia"/>
          <w:bCs/>
          <w:kern w:val="44"/>
          <w:sz w:val="32"/>
          <w:szCs w:val="32"/>
          <w:shd w:val="clear" w:color="auto" w:fill="FFFFFF"/>
        </w:rPr>
        <w:t>抓试点促创新，落实了一批突破性的改革举措。</w:t>
      </w:r>
      <w:r>
        <w:rPr>
          <w:rFonts w:eastAsia="仿宋_GB2312" w:hint="eastAsia"/>
          <w:b/>
          <w:kern w:val="44"/>
          <w:sz w:val="32"/>
          <w:szCs w:val="32"/>
        </w:rPr>
        <w:t>一是</w:t>
      </w:r>
      <w:r>
        <w:rPr>
          <w:rFonts w:eastAsia="仿宋_GB2312" w:hint="eastAsia"/>
          <w:sz w:val="32"/>
          <w:szCs w:val="32"/>
        </w:rPr>
        <w:t>统筹推进经济体制和社会体制改革。</w:t>
      </w:r>
      <w:r>
        <w:rPr>
          <w:rFonts w:eastAsia="仿宋_GB2312"/>
          <w:sz w:val="32"/>
          <w:szCs w:val="32"/>
        </w:rPr>
        <w:t>2020</w:t>
      </w:r>
      <w:r>
        <w:rPr>
          <w:rFonts w:eastAsia="仿宋_GB2312" w:hint="eastAsia"/>
          <w:sz w:val="32"/>
          <w:szCs w:val="32"/>
        </w:rPr>
        <w:t>年，牵头推进</w:t>
      </w:r>
      <w:r>
        <w:rPr>
          <w:rFonts w:eastAsia="仿宋_GB2312"/>
          <w:sz w:val="32"/>
          <w:szCs w:val="32"/>
        </w:rPr>
        <w:t>15</w:t>
      </w:r>
      <w:r>
        <w:rPr>
          <w:rFonts w:eastAsia="仿宋_GB2312" w:hint="eastAsia"/>
          <w:sz w:val="32"/>
          <w:szCs w:val="32"/>
        </w:rPr>
        <w:t>大项</w:t>
      </w:r>
      <w:r>
        <w:rPr>
          <w:rFonts w:eastAsia="仿宋_GB2312"/>
          <w:sz w:val="32"/>
          <w:szCs w:val="32"/>
        </w:rPr>
        <w:t>35</w:t>
      </w:r>
      <w:r>
        <w:rPr>
          <w:rFonts w:eastAsia="仿宋_GB2312" w:hint="eastAsia"/>
          <w:sz w:val="32"/>
          <w:szCs w:val="32"/>
        </w:rPr>
        <w:t>小项经济体制改革任务，完成了“一件事一次办”、“多规合一”协同审批平台、平台公司市场化转型、政府采购制度改革、规范土地储备管理、综合行政执法改革等系列改革内容；牵头推进</w:t>
      </w:r>
      <w:r>
        <w:rPr>
          <w:rFonts w:eastAsia="仿宋_GB2312"/>
          <w:sz w:val="32"/>
          <w:szCs w:val="32"/>
        </w:rPr>
        <w:t>9</w:t>
      </w:r>
      <w:r>
        <w:rPr>
          <w:rFonts w:eastAsia="仿宋_GB2312" w:hint="eastAsia"/>
          <w:sz w:val="32"/>
          <w:szCs w:val="32"/>
        </w:rPr>
        <w:t>大项</w:t>
      </w:r>
      <w:r>
        <w:rPr>
          <w:rFonts w:eastAsia="仿宋_GB2312"/>
          <w:sz w:val="32"/>
          <w:szCs w:val="32"/>
        </w:rPr>
        <w:t>13</w:t>
      </w:r>
      <w:r>
        <w:rPr>
          <w:rFonts w:eastAsia="仿宋_GB2312" w:hint="eastAsia"/>
          <w:sz w:val="32"/>
          <w:szCs w:val="32"/>
        </w:rPr>
        <w:t>小项社会体制改革任务，完成了医疗卫生城（县）乡一体化改革、构建“从农田到餐桌”全过程全链条监管机制、完善老旧小区改造机制、健全退役军人“五有”保障体系等系列改革内容。</w:t>
      </w:r>
      <w:r>
        <w:rPr>
          <w:rFonts w:eastAsia="仿宋_GB2312" w:hint="eastAsia"/>
          <w:b/>
          <w:kern w:val="44"/>
          <w:sz w:val="32"/>
          <w:szCs w:val="32"/>
        </w:rPr>
        <w:t>二是</w:t>
      </w:r>
      <w:r>
        <w:rPr>
          <w:rFonts w:eastAsia="仿宋_GB2312" w:hint="eastAsia"/>
          <w:sz w:val="32"/>
          <w:szCs w:val="32"/>
        </w:rPr>
        <w:t>全面启动旅游经济高质量发展综合改革试点。</w:t>
      </w:r>
      <w:r>
        <w:rPr>
          <w:rFonts w:eastAsia="仿宋_GB2312" w:hint="eastAsia"/>
          <w:kern w:val="0"/>
          <w:sz w:val="32"/>
          <w:szCs w:val="32"/>
        </w:rPr>
        <w:t>先后</w:t>
      </w:r>
      <w:r>
        <w:rPr>
          <w:rFonts w:eastAsia="仿宋_GB2312"/>
          <w:kern w:val="0"/>
          <w:sz w:val="32"/>
          <w:szCs w:val="32"/>
        </w:rPr>
        <w:t>3</w:t>
      </w:r>
      <w:r>
        <w:rPr>
          <w:rFonts w:eastAsia="仿宋_GB2312" w:hint="eastAsia"/>
          <w:kern w:val="0"/>
          <w:sz w:val="32"/>
          <w:szCs w:val="32"/>
        </w:rPr>
        <w:t>次配合深改办对开展旅游经济高质量发展综合改革、改革实施方案提出意见建议，积极向上对接汇报，</w:t>
      </w:r>
      <w:r>
        <w:rPr>
          <w:rFonts w:eastAsia="仿宋_GB2312" w:hint="eastAsia"/>
          <w:bCs/>
          <w:sz w:val="32"/>
          <w:szCs w:val="32"/>
        </w:rPr>
        <w:t>旅游经济高质量发展综合改革试点纳入</w:t>
      </w:r>
      <w:proofErr w:type="gramStart"/>
      <w:r>
        <w:rPr>
          <w:rFonts w:eastAsia="仿宋_GB2312" w:hint="eastAsia"/>
          <w:bCs/>
          <w:sz w:val="32"/>
          <w:szCs w:val="32"/>
        </w:rPr>
        <w:t>省委深改委</w:t>
      </w:r>
      <w:proofErr w:type="gramEnd"/>
      <w:r>
        <w:rPr>
          <w:rFonts w:eastAsia="仿宋_GB2312" w:hint="eastAsia"/>
          <w:bCs/>
          <w:sz w:val="32"/>
          <w:szCs w:val="32"/>
        </w:rPr>
        <w:t>重点改革事项并全面启动。</w:t>
      </w:r>
      <w:r>
        <w:rPr>
          <w:rFonts w:eastAsia="仿宋_GB2312" w:hint="eastAsia"/>
          <w:b/>
          <w:kern w:val="44"/>
          <w:sz w:val="32"/>
          <w:szCs w:val="32"/>
        </w:rPr>
        <w:t>三是</w:t>
      </w:r>
      <w:r>
        <w:rPr>
          <w:rFonts w:eastAsia="仿宋_GB2312" w:hint="eastAsia"/>
          <w:sz w:val="32"/>
          <w:szCs w:val="32"/>
        </w:rPr>
        <w:t>深化工程建设项目审批制度改革。研究出台</w:t>
      </w:r>
      <w:r>
        <w:rPr>
          <w:rFonts w:eastAsia="仿宋_GB2312" w:hint="eastAsia"/>
          <w:kern w:val="0"/>
          <w:sz w:val="32"/>
          <w:szCs w:val="32"/>
        </w:rPr>
        <w:t>社会投资建设项</w:t>
      </w:r>
      <w:r>
        <w:rPr>
          <w:rFonts w:eastAsia="仿宋_GB2312" w:hint="eastAsia"/>
          <w:kern w:val="0"/>
          <w:sz w:val="32"/>
          <w:szCs w:val="32"/>
        </w:rPr>
        <w:lastRenderedPageBreak/>
        <w:t>目告知承诺制审批管理办法（试行），建设项目区域评估评审工作实施方案（试行），</w:t>
      </w:r>
      <w:r>
        <w:rPr>
          <w:rFonts w:eastAsia="仿宋_GB2312" w:hint="eastAsia"/>
          <w:sz w:val="32"/>
          <w:szCs w:val="32"/>
        </w:rPr>
        <w:t>社会投资项目</w:t>
      </w:r>
      <w:r>
        <w:rPr>
          <w:rFonts w:eastAsia="仿宋_GB2312"/>
          <w:sz w:val="32"/>
          <w:szCs w:val="32"/>
        </w:rPr>
        <w:t>“</w:t>
      </w:r>
      <w:r>
        <w:rPr>
          <w:rFonts w:eastAsia="仿宋_GB2312" w:hint="eastAsia"/>
          <w:sz w:val="32"/>
          <w:szCs w:val="32"/>
        </w:rPr>
        <w:t>拿地即开工</w:t>
      </w:r>
      <w:r>
        <w:rPr>
          <w:rFonts w:eastAsia="仿宋_GB2312"/>
          <w:sz w:val="32"/>
          <w:szCs w:val="32"/>
        </w:rPr>
        <w:t>”</w:t>
      </w:r>
      <w:r>
        <w:rPr>
          <w:rFonts w:eastAsia="仿宋_GB2312" w:hint="eastAsia"/>
          <w:sz w:val="32"/>
          <w:szCs w:val="32"/>
        </w:rPr>
        <w:t>实施意见（试行）等改革文件，精简审批流程，建设用地许可、建设工程许可两项许可办理时间由法律规定的</w:t>
      </w:r>
      <w:r>
        <w:rPr>
          <w:rFonts w:eastAsia="仿宋_GB2312"/>
          <w:sz w:val="32"/>
          <w:szCs w:val="32"/>
        </w:rPr>
        <w:t>25</w:t>
      </w:r>
      <w:r>
        <w:rPr>
          <w:rFonts w:eastAsia="仿宋_GB2312" w:hint="eastAsia"/>
          <w:sz w:val="32"/>
          <w:szCs w:val="32"/>
        </w:rPr>
        <w:t>个工作日压缩至</w:t>
      </w:r>
      <w:r>
        <w:rPr>
          <w:rFonts w:eastAsia="仿宋_GB2312"/>
          <w:sz w:val="32"/>
          <w:szCs w:val="32"/>
        </w:rPr>
        <w:t>5</w:t>
      </w:r>
      <w:r>
        <w:rPr>
          <w:rFonts w:eastAsia="仿宋_GB2312" w:hint="eastAsia"/>
          <w:sz w:val="32"/>
          <w:szCs w:val="32"/>
        </w:rPr>
        <w:t>个工作日。</w:t>
      </w:r>
      <w:r>
        <w:rPr>
          <w:rFonts w:eastAsia="仿宋_GB2312" w:hint="eastAsia"/>
          <w:b/>
          <w:kern w:val="44"/>
          <w:sz w:val="32"/>
          <w:szCs w:val="32"/>
        </w:rPr>
        <w:t>四是</w:t>
      </w:r>
      <w:r>
        <w:rPr>
          <w:rFonts w:eastAsia="仿宋_GB2312" w:hint="eastAsia"/>
          <w:sz w:val="32"/>
          <w:szCs w:val="32"/>
        </w:rPr>
        <w:t>落实</w:t>
      </w:r>
      <w:r>
        <w:rPr>
          <w:rFonts w:eastAsia="仿宋_GB2312"/>
          <w:sz w:val="32"/>
          <w:szCs w:val="32"/>
        </w:rPr>
        <w:t>“</w:t>
      </w:r>
      <w:r>
        <w:rPr>
          <w:rFonts w:eastAsia="仿宋_GB2312" w:hint="eastAsia"/>
          <w:sz w:val="32"/>
          <w:szCs w:val="32"/>
        </w:rPr>
        <w:t>放管服</w:t>
      </w:r>
      <w:r>
        <w:rPr>
          <w:rFonts w:eastAsia="仿宋_GB2312"/>
          <w:sz w:val="32"/>
          <w:szCs w:val="32"/>
        </w:rPr>
        <w:t>”</w:t>
      </w:r>
      <w:r>
        <w:rPr>
          <w:rFonts w:eastAsia="仿宋_GB2312" w:hint="eastAsia"/>
          <w:sz w:val="32"/>
          <w:szCs w:val="32"/>
        </w:rPr>
        <w:t>改革。实行</w:t>
      </w:r>
      <w:r>
        <w:rPr>
          <w:rFonts w:eastAsia="仿宋_GB2312"/>
          <w:sz w:val="32"/>
          <w:szCs w:val="32"/>
        </w:rPr>
        <w:t>“</w:t>
      </w:r>
      <w:r>
        <w:rPr>
          <w:rFonts w:eastAsia="仿宋_GB2312" w:hint="eastAsia"/>
          <w:sz w:val="32"/>
          <w:szCs w:val="32"/>
        </w:rPr>
        <w:t>平台之外无审批</w:t>
      </w:r>
      <w:r>
        <w:rPr>
          <w:rFonts w:eastAsia="仿宋_GB2312"/>
          <w:sz w:val="32"/>
          <w:szCs w:val="32"/>
        </w:rPr>
        <w:t>”</w:t>
      </w:r>
      <w:r>
        <w:rPr>
          <w:rFonts w:eastAsia="仿宋_GB2312" w:hint="eastAsia"/>
          <w:sz w:val="32"/>
          <w:szCs w:val="32"/>
        </w:rPr>
        <w:t>，将涉及我委的</w:t>
      </w:r>
      <w:r>
        <w:rPr>
          <w:rFonts w:eastAsia="仿宋_GB2312"/>
          <w:sz w:val="32"/>
          <w:szCs w:val="32"/>
        </w:rPr>
        <w:t>20</w:t>
      </w:r>
      <w:r>
        <w:rPr>
          <w:rFonts w:eastAsia="仿宋_GB2312" w:hint="eastAsia"/>
          <w:sz w:val="32"/>
          <w:szCs w:val="32"/>
        </w:rPr>
        <w:t>大项</w:t>
      </w:r>
      <w:r>
        <w:rPr>
          <w:rFonts w:eastAsia="仿宋_GB2312"/>
          <w:sz w:val="32"/>
          <w:szCs w:val="32"/>
        </w:rPr>
        <w:t>38</w:t>
      </w:r>
      <w:r>
        <w:rPr>
          <w:rFonts w:eastAsia="仿宋_GB2312" w:hint="eastAsia"/>
          <w:sz w:val="32"/>
          <w:szCs w:val="32"/>
        </w:rPr>
        <w:t>小项具体政务服务事项，全部进入市政务中心窗口统一受理、分类审批、统一出件。</w:t>
      </w:r>
      <w:r>
        <w:rPr>
          <w:rFonts w:eastAsia="仿宋_GB2312"/>
          <w:sz w:val="32"/>
          <w:szCs w:val="32"/>
        </w:rPr>
        <w:t>2020</w:t>
      </w:r>
      <w:r>
        <w:rPr>
          <w:rFonts w:eastAsia="仿宋_GB2312" w:hint="eastAsia"/>
          <w:sz w:val="32"/>
          <w:szCs w:val="32"/>
        </w:rPr>
        <w:t>年审批核准备案固定资产投资项目</w:t>
      </w:r>
      <w:r>
        <w:rPr>
          <w:rFonts w:eastAsia="仿宋_GB2312"/>
          <w:sz w:val="32"/>
          <w:szCs w:val="32"/>
        </w:rPr>
        <w:t>225</w:t>
      </w:r>
      <w:r>
        <w:rPr>
          <w:rFonts w:eastAsia="仿宋_GB2312" w:hint="eastAsia"/>
          <w:sz w:val="32"/>
          <w:szCs w:val="32"/>
        </w:rPr>
        <w:t>个，</w:t>
      </w:r>
      <w:r>
        <w:rPr>
          <w:rFonts w:eastAsia="仿宋_GB2312" w:hint="eastAsia"/>
          <w:sz w:val="32"/>
          <w:szCs w:val="32"/>
          <w:shd w:val="clear" w:color="auto" w:fill="FFFFFF"/>
        </w:rPr>
        <w:t>总投资</w:t>
      </w:r>
      <w:r>
        <w:rPr>
          <w:rFonts w:eastAsia="仿宋_GB2312"/>
          <w:sz w:val="32"/>
          <w:szCs w:val="32"/>
          <w:shd w:val="clear" w:color="auto" w:fill="FFFFFF"/>
        </w:rPr>
        <w:t>700</w:t>
      </w:r>
      <w:r>
        <w:rPr>
          <w:rFonts w:eastAsia="仿宋_GB2312" w:hint="eastAsia"/>
          <w:sz w:val="32"/>
          <w:szCs w:val="32"/>
          <w:shd w:val="clear" w:color="auto" w:fill="FFFFFF"/>
        </w:rPr>
        <w:t>亿元，其中审批项目</w:t>
      </w:r>
      <w:r>
        <w:rPr>
          <w:rFonts w:eastAsia="仿宋_GB2312"/>
          <w:sz w:val="32"/>
          <w:szCs w:val="32"/>
          <w:shd w:val="clear" w:color="auto" w:fill="FFFFFF"/>
        </w:rPr>
        <w:t>106</w:t>
      </w:r>
      <w:r>
        <w:rPr>
          <w:rFonts w:eastAsia="仿宋_GB2312" w:hint="eastAsia"/>
          <w:sz w:val="32"/>
          <w:szCs w:val="32"/>
          <w:shd w:val="clear" w:color="auto" w:fill="FFFFFF"/>
        </w:rPr>
        <w:t>个、核准项目</w:t>
      </w:r>
      <w:r>
        <w:rPr>
          <w:rFonts w:eastAsia="仿宋_GB2312"/>
          <w:sz w:val="32"/>
          <w:szCs w:val="32"/>
          <w:shd w:val="clear" w:color="auto" w:fill="FFFFFF"/>
        </w:rPr>
        <w:t>6</w:t>
      </w:r>
      <w:r>
        <w:rPr>
          <w:rFonts w:eastAsia="仿宋_GB2312" w:hint="eastAsia"/>
          <w:sz w:val="32"/>
          <w:szCs w:val="32"/>
          <w:shd w:val="clear" w:color="auto" w:fill="FFFFFF"/>
        </w:rPr>
        <w:t>个、备案项目</w:t>
      </w:r>
      <w:r>
        <w:rPr>
          <w:rFonts w:eastAsia="仿宋_GB2312"/>
          <w:sz w:val="32"/>
          <w:szCs w:val="32"/>
          <w:shd w:val="clear" w:color="auto" w:fill="FFFFFF"/>
        </w:rPr>
        <w:t>113</w:t>
      </w:r>
      <w:r>
        <w:rPr>
          <w:rFonts w:eastAsia="仿宋_GB2312" w:hint="eastAsia"/>
          <w:sz w:val="32"/>
          <w:szCs w:val="32"/>
          <w:shd w:val="clear" w:color="auto" w:fill="FFFFFF"/>
        </w:rPr>
        <w:t>个。</w:t>
      </w:r>
    </w:p>
    <w:p w14:paraId="2ACCF63C" w14:textId="77777777" w:rsidR="008D68C9" w:rsidRDefault="00000000">
      <w:pPr>
        <w:autoSpaceDE w:val="0"/>
        <w:spacing w:line="640" w:lineRule="exact"/>
        <w:ind w:firstLineChars="200" w:firstLine="640"/>
        <w:rPr>
          <w:rFonts w:eastAsia="仿宋_GB2312"/>
          <w:sz w:val="32"/>
          <w:szCs w:val="32"/>
        </w:rPr>
      </w:pPr>
      <w:r>
        <w:rPr>
          <w:rFonts w:ascii="楷体_GB2312" w:eastAsia="楷体_GB2312" w:hint="eastAsia"/>
          <w:bCs/>
          <w:kern w:val="44"/>
          <w:sz w:val="32"/>
          <w:szCs w:val="32"/>
          <w:shd w:val="clear" w:color="auto" w:fill="FFFFFF"/>
        </w:rPr>
        <w:t>（六）、强攻坚破难题优服务，优化了市场营商环境。一是</w:t>
      </w:r>
      <w:r>
        <w:rPr>
          <w:rFonts w:eastAsia="仿宋_GB2312" w:hint="eastAsia"/>
          <w:sz w:val="32"/>
          <w:szCs w:val="32"/>
        </w:rPr>
        <w:t>开展规范性文件清理工作，全市共清理涉及营商环境文件政策</w:t>
      </w:r>
      <w:r>
        <w:rPr>
          <w:rFonts w:eastAsia="仿宋_GB2312"/>
          <w:sz w:val="32"/>
          <w:szCs w:val="32"/>
          <w:shd w:val="clear" w:color="auto" w:fill="FFFFFF"/>
        </w:rPr>
        <w:t>67</w:t>
      </w:r>
      <w:r>
        <w:rPr>
          <w:rFonts w:eastAsia="仿宋_GB2312" w:hint="eastAsia"/>
          <w:sz w:val="32"/>
          <w:szCs w:val="32"/>
          <w:shd w:val="clear" w:color="auto" w:fill="FFFFFF"/>
        </w:rPr>
        <w:t>份，修改</w:t>
      </w:r>
      <w:r>
        <w:rPr>
          <w:rFonts w:eastAsia="仿宋_GB2312"/>
          <w:sz w:val="32"/>
          <w:szCs w:val="32"/>
          <w:shd w:val="clear" w:color="auto" w:fill="FFFFFF"/>
        </w:rPr>
        <w:t>1</w:t>
      </w:r>
      <w:r>
        <w:rPr>
          <w:rFonts w:eastAsia="仿宋_GB2312" w:hint="eastAsia"/>
          <w:sz w:val="32"/>
          <w:szCs w:val="32"/>
          <w:shd w:val="clear" w:color="auto" w:fill="FFFFFF"/>
        </w:rPr>
        <w:t>份、废止</w:t>
      </w:r>
      <w:r>
        <w:rPr>
          <w:rFonts w:eastAsia="仿宋_GB2312"/>
          <w:sz w:val="32"/>
          <w:szCs w:val="32"/>
          <w:shd w:val="clear" w:color="auto" w:fill="FFFFFF"/>
        </w:rPr>
        <w:t>1</w:t>
      </w:r>
      <w:r>
        <w:rPr>
          <w:rFonts w:eastAsia="仿宋_GB2312" w:hint="eastAsia"/>
          <w:sz w:val="32"/>
          <w:szCs w:val="32"/>
          <w:shd w:val="clear" w:color="auto" w:fill="FFFFFF"/>
        </w:rPr>
        <w:t>份。</w:t>
      </w:r>
      <w:r>
        <w:rPr>
          <w:rFonts w:eastAsia="仿宋_GB2312" w:hint="eastAsia"/>
          <w:sz w:val="32"/>
          <w:szCs w:val="32"/>
        </w:rPr>
        <w:t>对</w:t>
      </w:r>
      <w:proofErr w:type="gramStart"/>
      <w:r>
        <w:rPr>
          <w:rFonts w:eastAsia="仿宋_GB2312" w:hint="eastAsia"/>
          <w:sz w:val="32"/>
          <w:szCs w:val="32"/>
        </w:rPr>
        <w:t>标先进</w:t>
      </w:r>
      <w:proofErr w:type="gramEnd"/>
      <w:r>
        <w:rPr>
          <w:rFonts w:eastAsia="仿宋_GB2312" w:hint="eastAsia"/>
          <w:sz w:val="32"/>
          <w:szCs w:val="32"/>
        </w:rPr>
        <w:t>地区先进经验，</w:t>
      </w:r>
      <w:r>
        <w:rPr>
          <w:rFonts w:eastAsia="仿宋_GB2312" w:hint="eastAsia"/>
          <w:sz w:val="32"/>
          <w:szCs w:val="32"/>
          <w:shd w:val="clear" w:color="auto" w:fill="FFFFFF"/>
        </w:rPr>
        <w:t>提出复制推广北京上海的</w:t>
      </w:r>
      <w:r>
        <w:rPr>
          <w:rFonts w:eastAsia="仿宋_GB2312"/>
          <w:sz w:val="32"/>
          <w:szCs w:val="32"/>
          <w:shd w:val="clear" w:color="auto" w:fill="FFFFFF"/>
        </w:rPr>
        <w:t>13</w:t>
      </w:r>
      <w:r>
        <w:rPr>
          <w:rFonts w:eastAsia="仿宋_GB2312" w:hint="eastAsia"/>
          <w:sz w:val="32"/>
          <w:szCs w:val="32"/>
          <w:shd w:val="clear" w:color="auto" w:fill="FFFFFF"/>
        </w:rPr>
        <w:t>项改革举措，供借鉴的</w:t>
      </w:r>
      <w:r>
        <w:rPr>
          <w:rFonts w:eastAsia="仿宋_GB2312"/>
          <w:sz w:val="32"/>
          <w:szCs w:val="32"/>
          <w:shd w:val="clear" w:color="auto" w:fill="FFFFFF"/>
        </w:rPr>
        <w:t>23</w:t>
      </w:r>
      <w:r>
        <w:rPr>
          <w:rFonts w:eastAsia="仿宋_GB2312" w:hint="eastAsia"/>
          <w:sz w:val="32"/>
          <w:szCs w:val="32"/>
          <w:shd w:val="clear" w:color="auto" w:fill="FFFFFF"/>
        </w:rPr>
        <w:t>项改革举措，在</w:t>
      </w:r>
      <w:r>
        <w:rPr>
          <w:rFonts w:eastAsia="仿宋_GB2312" w:hint="eastAsia"/>
          <w:sz w:val="32"/>
          <w:szCs w:val="32"/>
        </w:rPr>
        <w:t>减税、降费、金服、</w:t>
      </w:r>
      <w:r>
        <w:rPr>
          <w:rFonts w:eastAsia="仿宋_GB2312" w:hint="eastAsia"/>
          <w:sz w:val="32"/>
          <w:szCs w:val="32"/>
          <w:shd w:val="clear" w:color="auto" w:fill="FFFFFF"/>
        </w:rPr>
        <w:t>政服、</w:t>
      </w:r>
      <w:r>
        <w:rPr>
          <w:rFonts w:eastAsia="仿宋_GB2312" w:hint="eastAsia"/>
          <w:sz w:val="32"/>
          <w:szCs w:val="32"/>
        </w:rPr>
        <w:t>联合审批、</w:t>
      </w:r>
      <w:r>
        <w:rPr>
          <w:rFonts w:eastAsia="仿宋_GB2312" w:hint="eastAsia"/>
          <w:sz w:val="32"/>
          <w:szCs w:val="32"/>
          <w:shd w:val="clear" w:color="auto" w:fill="FFFFFF"/>
        </w:rPr>
        <w:t>协调督办、</w:t>
      </w:r>
      <w:r>
        <w:rPr>
          <w:rFonts w:eastAsia="仿宋_GB2312" w:hint="eastAsia"/>
          <w:sz w:val="32"/>
          <w:szCs w:val="32"/>
        </w:rPr>
        <w:t>行政执法、商事改革方面突出新标准、推行新举措</w:t>
      </w:r>
      <w:r>
        <w:rPr>
          <w:rFonts w:eastAsia="仿宋_GB2312" w:hint="eastAsia"/>
          <w:bCs/>
          <w:kern w:val="20"/>
          <w:sz w:val="32"/>
          <w:szCs w:val="32"/>
          <w:shd w:val="clear" w:color="auto" w:fill="FFFFFF"/>
        </w:rPr>
        <w:t>。二</w:t>
      </w:r>
      <w:r>
        <w:rPr>
          <w:rFonts w:eastAsia="仿宋_GB2312" w:hint="eastAsia"/>
          <w:b/>
          <w:kern w:val="44"/>
          <w:sz w:val="32"/>
          <w:szCs w:val="32"/>
        </w:rPr>
        <w:t>是</w:t>
      </w:r>
      <w:r>
        <w:rPr>
          <w:rFonts w:eastAsia="仿宋_GB2312" w:hint="eastAsia"/>
          <w:sz w:val="32"/>
          <w:szCs w:val="32"/>
        </w:rPr>
        <w:t>开展以</w:t>
      </w:r>
      <w:r>
        <w:rPr>
          <w:rFonts w:eastAsia="仿宋_GB2312"/>
          <w:sz w:val="32"/>
          <w:szCs w:val="32"/>
        </w:rPr>
        <w:t>“</w:t>
      </w:r>
      <w:r>
        <w:rPr>
          <w:rFonts w:eastAsia="仿宋_GB2312" w:hint="eastAsia"/>
          <w:sz w:val="32"/>
          <w:szCs w:val="32"/>
        </w:rPr>
        <w:t>清零即挂地、拿地即开工、交房即交证、领照即开业</w:t>
      </w:r>
      <w:r>
        <w:rPr>
          <w:rFonts w:eastAsia="仿宋_GB2312"/>
          <w:sz w:val="32"/>
          <w:szCs w:val="32"/>
        </w:rPr>
        <w:t>”</w:t>
      </w:r>
      <w:r>
        <w:rPr>
          <w:rFonts w:eastAsia="仿宋_GB2312" w:hint="eastAsia"/>
          <w:sz w:val="32"/>
          <w:szCs w:val="32"/>
        </w:rPr>
        <w:t>等为重点的</w:t>
      </w:r>
      <w:r>
        <w:rPr>
          <w:rFonts w:eastAsia="仿宋_GB2312"/>
          <w:sz w:val="32"/>
          <w:szCs w:val="32"/>
        </w:rPr>
        <w:t>“9+2”</w:t>
      </w:r>
      <w:r>
        <w:rPr>
          <w:rFonts w:eastAsia="仿宋_GB2312" w:hint="eastAsia"/>
          <w:sz w:val="32"/>
          <w:szCs w:val="32"/>
        </w:rPr>
        <w:t>专项行动。印发通报</w:t>
      </w:r>
      <w:r>
        <w:rPr>
          <w:rFonts w:eastAsia="仿宋_GB2312"/>
          <w:sz w:val="32"/>
          <w:szCs w:val="32"/>
        </w:rPr>
        <w:t>12</w:t>
      </w:r>
      <w:r>
        <w:rPr>
          <w:rFonts w:eastAsia="仿宋_GB2312" w:hint="eastAsia"/>
          <w:sz w:val="32"/>
          <w:szCs w:val="32"/>
        </w:rPr>
        <w:t>期，下发督办函</w:t>
      </w:r>
      <w:r>
        <w:rPr>
          <w:rFonts w:eastAsia="仿宋_GB2312"/>
          <w:sz w:val="32"/>
          <w:szCs w:val="32"/>
        </w:rPr>
        <w:t>1</w:t>
      </w:r>
      <w:r>
        <w:rPr>
          <w:rFonts w:eastAsia="仿宋_GB2312" w:hint="eastAsia"/>
          <w:sz w:val="32"/>
          <w:szCs w:val="32"/>
        </w:rPr>
        <w:t>件，向市纪委监委移交问题线索</w:t>
      </w:r>
      <w:r>
        <w:rPr>
          <w:rFonts w:eastAsia="仿宋_GB2312"/>
          <w:sz w:val="32"/>
          <w:szCs w:val="32"/>
        </w:rPr>
        <w:t>1</w:t>
      </w:r>
      <w:r>
        <w:rPr>
          <w:rFonts w:eastAsia="仿宋_GB2312" w:hint="eastAsia"/>
          <w:sz w:val="32"/>
          <w:szCs w:val="32"/>
        </w:rPr>
        <w:t>起，交办问题线索</w:t>
      </w:r>
      <w:r>
        <w:rPr>
          <w:rFonts w:eastAsia="仿宋_GB2312"/>
          <w:sz w:val="32"/>
          <w:szCs w:val="32"/>
        </w:rPr>
        <w:t>118</w:t>
      </w:r>
      <w:r>
        <w:rPr>
          <w:rFonts w:eastAsia="仿宋_GB2312" w:hint="eastAsia"/>
          <w:sz w:val="32"/>
          <w:szCs w:val="32"/>
        </w:rPr>
        <w:t>条。三是全面开展营商环境评价。印发《张家界市</w:t>
      </w:r>
      <w:r>
        <w:rPr>
          <w:rFonts w:eastAsia="仿宋_GB2312"/>
          <w:sz w:val="32"/>
          <w:szCs w:val="32"/>
        </w:rPr>
        <w:t>2020</w:t>
      </w:r>
      <w:r>
        <w:rPr>
          <w:rFonts w:eastAsia="仿宋_GB2312" w:hint="eastAsia"/>
          <w:sz w:val="32"/>
          <w:szCs w:val="32"/>
        </w:rPr>
        <w:t>年营商环境试评价实施方案（区县）》，建立了</w:t>
      </w:r>
      <w:r>
        <w:rPr>
          <w:rFonts w:eastAsia="仿宋_GB2312"/>
          <w:sz w:val="32"/>
          <w:szCs w:val="32"/>
        </w:rPr>
        <w:t>50</w:t>
      </w:r>
      <w:r>
        <w:rPr>
          <w:rFonts w:eastAsia="仿宋_GB2312" w:hint="eastAsia"/>
          <w:sz w:val="32"/>
          <w:szCs w:val="32"/>
        </w:rPr>
        <w:t>个营商环境监测点，聘请了</w:t>
      </w:r>
      <w:r>
        <w:rPr>
          <w:rFonts w:eastAsia="仿宋_GB2312"/>
          <w:sz w:val="32"/>
          <w:szCs w:val="32"/>
        </w:rPr>
        <w:t>10</w:t>
      </w:r>
      <w:r>
        <w:rPr>
          <w:rFonts w:eastAsia="仿宋_GB2312" w:hint="eastAsia"/>
          <w:sz w:val="32"/>
          <w:szCs w:val="32"/>
        </w:rPr>
        <w:t>名人大代表、政协委员和</w:t>
      </w:r>
      <w:r>
        <w:rPr>
          <w:rFonts w:eastAsia="仿宋_GB2312" w:hint="eastAsia"/>
          <w:sz w:val="32"/>
          <w:szCs w:val="32"/>
        </w:rPr>
        <w:lastRenderedPageBreak/>
        <w:t>企业家代表作为营商环境监督员，明确</w:t>
      </w:r>
      <w:r>
        <w:rPr>
          <w:rFonts w:eastAsia="仿宋_GB2312"/>
          <w:sz w:val="32"/>
          <w:szCs w:val="32"/>
        </w:rPr>
        <w:t>19</w:t>
      </w:r>
      <w:r>
        <w:rPr>
          <w:rFonts w:eastAsia="仿宋_GB2312" w:hint="eastAsia"/>
          <w:sz w:val="32"/>
          <w:szCs w:val="32"/>
        </w:rPr>
        <w:t>项一级评价指标，委托第三方完成区县营商环境评价，永定区、慈利县</w:t>
      </w:r>
      <w:r>
        <w:rPr>
          <w:rFonts w:eastAsia="仿宋_GB2312"/>
          <w:sz w:val="32"/>
          <w:szCs w:val="32"/>
        </w:rPr>
        <w:t>2020</w:t>
      </w:r>
      <w:r>
        <w:rPr>
          <w:rFonts w:eastAsia="仿宋_GB2312" w:hint="eastAsia"/>
          <w:sz w:val="32"/>
          <w:szCs w:val="32"/>
        </w:rPr>
        <w:t>年度营商环境位居全市前列。四</w:t>
      </w:r>
      <w:r>
        <w:rPr>
          <w:rFonts w:eastAsia="仿宋_GB2312" w:hint="eastAsia"/>
          <w:b/>
          <w:kern w:val="44"/>
          <w:sz w:val="32"/>
          <w:szCs w:val="32"/>
        </w:rPr>
        <w:t>是</w:t>
      </w:r>
      <w:r>
        <w:rPr>
          <w:rFonts w:eastAsia="仿宋_GB2312" w:hint="eastAsia"/>
          <w:sz w:val="32"/>
          <w:szCs w:val="32"/>
        </w:rPr>
        <w:t>加快社会信用体系建设。积极开展</w:t>
      </w:r>
      <w:proofErr w:type="gramStart"/>
      <w:r>
        <w:rPr>
          <w:rFonts w:eastAsia="仿宋_GB2312" w:hint="eastAsia"/>
          <w:sz w:val="32"/>
          <w:szCs w:val="32"/>
        </w:rPr>
        <w:t>信易贷工作</w:t>
      </w:r>
      <w:proofErr w:type="gramEnd"/>
      <w:r>
        <w:rPr>
          <w:rFonts w:eastAsia="仿宋_GB2312" w:hint="eastAsia"/>
          <w:sz w:val="32"/>
          <w:szCs w:val="32"/>
        </w:rPr>
        <w:t>，出台《个人诚信分管理办法（试行）》，公布诚信红名单企业</w:t>
      </w:r>
      <w:r>
        <w:rPr>
          <w:rFonts w:eastAsia="仿宋_GB2312"/>
          <w:sz w:val="32"/>
          <w:szCs w:val="32"/>
        </w:rPr>
        <w:t>616</w:t>
      </w:r>
      <w:r>
        <w:rPr>
          <w:rFonts w:eastAsia="仿宋_GB2312" w:hint="eastAsia"/>
          <w:sz w:val="32"/>
          <w:szCs w:val="32"/>
        </w:rPr>
        <w:t>家，失信黑名单</w:t>
      </w:r>
      <w:r>
        <w:rPr>
          <w:rFonts w:eastAsia="仿宋_GB2312"/>
          <w:sz w:val="32"/>
          <w:szCs w:val="32"/>
        </w:rPr>
        <w:t>207</w:t>
      </w:r>
      <w:r>
        <w:rPr>
          <w:rFonts w:eastAsia="仿宋_GB2312" w:hint="eastAsia"/>
          <w:sz w:val="32"/>
          <w:szCs w:val="32"/>
        </w:rPr>
        <w:t>家，全面提升信用信息安全，我市城市信用排名位居全省第一。</w:t>
      </w:r>
    </w:p>
    <w:p w14:paraId="140F2CA6" w14:textId="77777777" w:rsidR="008D68C9" w:rsidRDefault="00000000">
      <w:pPr>
        <w:spacing w:line="640" w:lineRule="exact"/>
        <w:ind w:firstLineChars="200" w:firstLine="640"/>
        <w:rPr>
          <w:rFonts w:eastAsia="仿宋_GB2312"/>
          <w:sz w:val="32"/>
          <w:szCs w:val="32"/>
        </w:rPr>
      </w:pPr>
      <w:r>
        <w:rPr>
          <w:rFonts w:ascii="楷体_GB2312" w:eastAsia="楷体_GB2312" w:hint="eastAsia"/>
          <w:bCs/>
          <w:kern w:val="44"/>
          <w:sz w:val="32"/>
          <w:szCs w:val="32"/>
          <w:shd w:val="clear" w:color="auto" w:fill="FFFFFF"/>
        </w:rPr>
        <w:t>(七）、抓重点补短板强弱项，巩固了三大攻坚战成效。</w:t>
      </w:r>
      <w:r>
        <w:rPr>
          <w:rFonts w:eastAsia="仿宋_GB2312" w:hint="eastAsia"/>
          <w:b/>
          <w:kern w:val="44"/>
          <w:sz w:val="32"/>
          <w:szCs w:val="32"/>
        </w:rPr>
        <w:t>一是</w:t>
      </w:r>
      <w:r>
        <w:rPr>
          <w:rFonts w:eastAsia="仿宋_GB2312" w:hint="eastAsia"/>
          <w:sz w:val="32"/>
          <w:szCs w:val="32"/>
        </w:rPr>
        <w:t>落实脱贫攻坚任务。全面完成易地扶贫搬迁任务，</w:t>
      </w:r>
      <w:r>
        <w:rPr>
          <w:rFonts w:eastAsia="仿宋_GB2312" w:hint="eastAsia"/>
          <w:kern w:val="0"/>
          <w:sz w:val="32"/>
          <w:szCs w:val="32"/>
        </w:rPr>
        <w:t>建成集中安置点</w:t>
      </w:r>
      <w:r>
        <w:rPr>
          <w:rFonts w:eastAsia="仿宋_GB2312"/>
          <w:kern w:val="0"/>
          <w:sz w:val="32"/>
          <w:szCs w:val="32"/>
        </w:rPr>
        <w:t>195</w:t>
      </w:r>
      <w:r>
        <w:rPr>
          <w:rFonts w:eastAsia="仿宋_GB2312" w:hint="eastAsia"/>
          <w:kern w:val="0"/>
          <w:sz w:val="32"/>
          <w:szCs w:val="32"/>
        </w:rPr>
        <w:t>个，完成搬迁入住</w:t>
      </w:r>
      <w:r>
        <w:rPr>
          <w:rFonts w:eastAsia="仿宋_GB2312"/>
          <w:kern w:val="0"/>
          <w:sz w:val="32"/>
          <w:szCs w:val="32"/>
        </w:rPr>
        <w:t>9644</w:t>
      </w:r>
      <w:r>
        <w:rPr>
          <w:rFonts w:eastAsia="仿宋_GB2312" w:hint="eastAsia"/>
          <w:kern w:val="0"/>
          <w:sz w:val="32"/>
          <w:szCs w:val="32"/>
        </w:rPr>
        <w:t>户</w:t>
      </w:r>
      <w:r>
        <w:rPr>
          <w:rFonts w:eastAsia="仿宋_GB2312"/>
          <w:kern w:val="0"/>
          <w:sz w:val="32"/>
          <w:szCs w:val="32"/>
        </w:rPr>
        <w:t>34698</w:t>
      </w:r>
      <w:r>
        <w:rPr>
          <w:rFonts w:eastAsia="仿宋_GB2312" w:hint="eastAsia"/>
          <w:kern w:val="0"/>
          <w:sz w:val="32"/>
          <w:szCs w:val="32"/>
        </w:rPr>
        <w:t>人，搬迁入住率</w:t>
      </w:r>
      <w:r>
        <w:rPr>
          <w:rFonts w:eastAsia="仿宋_GB2312"/>
          <w:kern w:val="0"/>
          <w:sz w:val="32"/>
          <w:szCs w:val="32"/>
        </w:rPr>
        <w:t>100%</w:t>
      </w:r>
      <w:r>
        <w:rPr>
          <w:rFonts w:eastAsia="仿宋_GB2312" w:hint="eastAsia"/>
          <w:kern w:val="0"/>
          <w:sz w:val="32"/>
          <w:szCs w:val="32"/>
        </w:rPr>
        <w:t>，基础设施与基本公共服务设施覆盖率</w:t>
      </w:r>
      <w:r>
        <w:rPr>
          <w:rFonts w:eastAsia="仿宋_GB2312"/>
          <w:kern w:val="0"/>
          <w:sz w:val="32"/>
          <w:szCs w:val="32"/>
        </w:rPr>
        <w:t>100%</w:t>
      </w:r>
      <w:r>
        <w:rPr>
          <w:rFonts w:eastAsia="仿宋_GB2312" w:hint="eastAsia"/>
          <w:kern w:val="0"/>
          <w:sz w:val="32"/>
          <w:szCs w:val="32"/>
        </w:rPr>
        <w:t>，后续帮扶措施覆盖率</w:t>
      </w:r>
      <w:r>
        <w:rPr>
          <w:rFonts w:eastAsia="仿宋_GB2312"/>
          <w:kern w:val="0"/>
          <w:sz w:val="32"/>
          <w:szCs w:val="32"/>
        </w:rPr>
        <w:t>100%</w:t>
      </w:r>
      <w:r>
        <w:rPr>
          <w:rFonts w:eastAsia="仿宋_GB2312" w:hint="eastAsia"/>
          <w:kern w:val="0"/>
          <w:sz w:val="32"/>
          <w:szCs w:val="32"/>
        </w:rPr>
        <w:t>。慈利县获评</w:t>
      </w:r>
      <w:r>
        <w:rPr>
          <w:rFonts w:eastAsia="仿宋_GB2312"/>
          <w:kern w:val="0"/>
          <w:sz w:val="32"/>
          <w:szCs w:val="32"/>
        </w:rPr>
        <w:t>“</w:t>
      </w:r>
      <w:r>
        <w:rPr>
          <w:rFonts w:eastAsia="仿宋_GB2312" w:hint="eastAsia"/>
          <w:kern w:val="0"/>
          <w:sz w:val="32"/>
          <w:szCs w:val="32"/>
        </w:rPr>
        <w:t>全国搬迁工作成效明显县</w:t>
      </w:r>
      <w:r>
        <w:rPr>
          <w:rFonts w:eastAsia="仿宋_GB2312"/>
          <w:kern w:val="0"/>
          <w:sz w:val="32"/>
          <w:szCs w:val="32"/>
        </w:rPr>
        <w:t>”</w:t>
      </w:r>
      <w:r>
        <w:rPr>
          <w:rFonts w:eastAsia="仿宋_GB2312" w:hint="eastAsia"/>
          <w:kern w:val="0"/>
          <w:sz w:val="32"/>
          <w:szCs w:val="32"/>
        </w:rPr>
        <w:t>，桑植</w:t>
      </w:r>
      <w:proofErr w:type="gramStart"/>
      <w:r>
        <w:rPr>
          <w:rFonts w:eastAsia="仿宋_GB2312" w:hint="eastAsia"/>
          <w:kern w:val="0"/>
          <w:sz w:val="32"/>
          <w:szCs w:val="32"/>
        </w:rPr>
        <w:t>县发改局</w:t>
      </w:r>
      <w:proofErr w:type="gramEnd"/>
      <w:r>
        <w:rPr>
          <w:rFonts w:eastAsia="仿宋_GB2312" w:hint="eastAsia"/>
          <w:kern w:val="0"/>
          <w:sz w:val="32"/>
          <w:szCs w:val="32"/>
        </w:rPr>
        <w:t>获评“全国搬迁工作担当有为集体”，永定区茅岩</w:t>
      </w:r>
      <w:proofErr w:type="gramStart"/>
      <w:r>
        <w:rPr>
          <w:rFonts w:eastAsia="仿宋_GB2312" w:hint="eastAsia"/>
          <w:kern w:val="0"/>
          <w:sz w:val="32"/>
          <w:szCs w:val="32"/>
        </w:rPr>
        <w:t>河镇温塘安置点获评</w:t>
      </w:r>
      <w:proofErr w:type="gramEnd"/>
      <w:r>
        <w:rPr>
          <w:rFonts w:eastAsia="仿宋_GB2312"/>
          <w:kern w:val="0"/>
          <w:sz w:val="32"/>
          <w:szCs w:val="32"/>
        </w:rPr>
        <w:t>“</w:t>
      </w:r>
      <w:r>
        <w:rPr>
          <w:rFonts w:eastAsia="仿宋_GB2312" w:hint="eastAsia"/>
          <w:kern w:val="0"/>
          <w:sz w:val="32"/>
          <w:szCs w:val="32"/>
        </w:rPr>
        <w:t>全国美丽搬迁安置区</w:t>
      </w:r>
      <w:r>
        <w:rPr>
          <w:rFonts w:eastAsia="仿宋_GB2312"/>
          <w:kern w:val="0"/>
          <w:sz w:val="32"/>
          <w:szCs w:val="32"/>
        </w:rPr>
        <w:t>”</w:t>
      </w:r>
      <w:r>
        <w:rPr>
          <w:rFonts w:eastAsia="仿宋_GB2312" w:hint="eastAsia"/>
          <w:kern w:val="0"/>
          <w:sz w:val="32"/>
          <w:szCs w:val="32"/>
        </w:rPr>
        <w:t>。</w:t>
      </w:r>
      <w:r>
        <w:rPr>
          <w:rFonts w:eastAsia="仿宋_GB2312" w:hint="eastAsia"/>
          <w:sz w:val="32"/>
          <w:szCs w:val="32"/>
        </w:rPr>
        <w:t>扎实推进驻村和结对帮扶工作，支持脐橙、</w:t>
      </w:r>
      <w:r>
        <w:rPr>
          <w:rFonts w:eastAsia="仿宋_GB2312" w:hint="eastAsia"/>
          <w:kern w:val="0"/>
          <w:sz w:val="32"/>
          <w:szCs w:val="32"/>
        </w:rPr>
        <w:t>金银花、矮化杜仲</w:t>
      </w:r>
      <w:r>
        <w:rPr>
          <w:rFonts w:eastAsia="仿宋_GB2312" w:hint="eastAsia"/>
          <w:sz w:val="32"/>
          <w:szCs w:val="32"/>
        </w:rPr>
        <w:t>产业发展，</w:t>
      </w:r>
      <w:r>
        <w:rPr>
          <w:rFonts w:eastAsia="仿宋_GB2312" w:hint="eastAsia"/>
          <w:kern w:val="0"/>
          <w:sz w:val="32"/>
          <w:szCs w:val="32"/>
        </w:rPr>
        <w:t>开办扶贫工厂，</w:t>
      </w:r>
      <w:r>
        <w:rPr>
          <w:rFonts w:eastAsia="仿宋_GB2312" w:hint="eastAsia"/>
          <w:sz w:val="32"/>
          <w:szCs w:val="32"/>
        </w:rPr>
        <w:t>落实消费扶贫政策，持续巩固慈利甘堰、川石村脱贫成果。</w:t>
      </w:r>
      <w:r>
        <w:rPr>
          <w:rFonts w:eastAsia="仿宋_GB2312" w:hint="eastAsia"/>
          <w:b/>
          <w:kern w:val="44"/>
          <w:sz w:val="32"/>
          <w:szCs w:val="32"/>
        </w:rPr>
        <w:t>二是</w:t>
      </w:r>
      <w:r>
        <w:rPr>
          <w:rFonts w:eastAsia="仿宋_GB2312" w:hint="eastAsia"/>
          <w:sz w:val="32"/>
          <w:szCs w:val="32"/>
        </w:rPr>
        <w:t>扎实推进污染防治。稳妥推进省级以上园区区域节能评估工作，能耗双控完成国家下达任务。推进小水电站关停退出工作，对我市</w:t>
      </w:r>
      <w:r>
        <w:rPr>
          <w:rFonts w:eastAsia="仿宋_GB2312"/>
          <w:sz w:val="32"/>
          <w:szCs w:val="32"/>
        </w:rPr>
        <w:t>86</w:t>
      </w:r>
      <w:r>
        <w:rPr>
          <w:rFonts w:eastAsia="仿宋_GB2312" w:hint="eastAsia"/>
          <w:sz w:val="32"/>
          <w:szCs w:val="32"/>
        </w:rPr>
        <w:t>座水电站上网计划给予取消，退出发电装机</w:t>
      </w:r>
      <w:r>
        <w:rPr>
          <w:rFonts w:eastAsia="仿宋_GB2312"/>
          <w:sz w:val="32"/>
          <w:szCs w:val="32"/>
        </w:rPr>
        <w:t>42.3</w:t>
      </w:r>
      <w:r>
        <w:rPr>
          <w:rFonts w:eastAsia="仿宋_GB2312" w:hint="eastAsia"/>
          <w:sz w:val="32"/>
          <w:szCs w:val="32"/>
        </w:rPr>
        <w:t>万千瓦。加快桑植</w:t>
      </w:r>
      <w:proofErr w:type="gramStart"/>
      <w:r>
        <w:rPr>
          <w:rFonts w:eastAsia="仿宋_GB2312" w:hint="eastAsia"/>
          <w:sz w:val="32"/>
          <w:szCs w:val="32"/>
        </w:rPr>
        <w:t>南滩风电项目</w:t>
      </w:r>
      <w:proofErr w:type="gramEnd"/>
      <w:r>
        <w:rPr>
          <w:rFonts w:eastAsia="仿宋_GB2312" w:hint="eastAsia"/>
          <w:sz w:val="32"/>
          <w:szCs w:val="32"/>
        </w:rPr>
        <w:t>建设，推动装机</w:t>
      </w:r>
      <w:r>
        <w:rPr>
          <w:rFonts w:eastAsia="仿宋_GB2312"/>
          <w:sz w:val="32"/>
          <w:szCs w:val="32"/>
        </w:rPr>
        <w:t>4</w:t>
      </w:r>
      <w:r>
        <w:rPr>
          <w:rFonts w:eastAsia="仿宋_GB2312" w:hint="eastAsia"/>
          <w:sz w:val="32"/>
          <w:szCs w:val="32"/>
        </w:rPr>
        <w:t>万千瓦天鹅池风电站和装机</w:t>
      </w:r>
      <w:r>
        <w:rPr>
          <w:rFonts w:eastAsia="仿宋_GB2312"/>
          <w:sz w:val="32"/>
          <w:szCs w:val="32"/>
        </w:rPr>
        <w:t>5</w:t>
      </w:r>
      <w:r>
        <w:rPr>
          <w:rFonts w:eastAsia="仿宋_GB2312" w:hint="eastAsia"/>
          <w:sz w:val="32"/>
          <w:szCs w:val="32"/>
        </w:rPr>
        <w:t>万千瓦</w:t>
      </w:r>
      <w:proofErr w:type="gramStart"/>
      <w:r>
        <w:rPr>
          <w:rFonts w:eastAsia="仿宋_GB2312" w:hint="eastAsia"/>
          <w:sz w:val="32"/>
          <w:szCs w:val="32"/>
        </w:rPr>
        <w:t>金坪风电场</w:t>
      </w:r>
      <w:proofErr w:type="gramEnd"/>
      <w:r>
        <w:rPr>
          <w:rFonts w:eastAsia="仿宋_GB2312" w:hint="eastAsia"/>
          <w:sz w:val="32"/>
          <w:szCs w:val="32"/>
        </w:rPr>
        <w:t>项目并网发电。全市</w:t>
      </w:r>
      <w:r>
        <w:rPr>
          <w:rFonts w:eastAsia="仿宋_GB2312"/>
          <w:sz w:val="32"/>
          <w:szCs w:val="32"/>
        </w:rPr>
        <w:t>105</w:t>
      </w:r>
      <w:r>
        <w:rPr>
          <w:rFonts w:eastAsia="仿宋_GB2312" w:hint="eastAsia"/>
          <w:sz w:val="32"/>
          <w:szCs w:val="32"/>
        </w:rPr>
        <w:t>个装机</w:t>
      </w:r>
      <w:r>
        <w:rPr>
          <w:rFonts w:eastAsia="仿宋_GB2312"/>
          <w:sz w:val="32"/>
          <w:szCs w:val="32"/>
        </w:rPr>
        <w:t>6823</w:t>
      </w:r>
      <w:r>
        <w:rPr>
          <w:rFonts w:eastAsia="仿宋_GB2312" w:hint="eastAsia"/>
          <w:sz w:val="32"/>
          <w:szCs w:val="32"/>
        </w:rPr>
        <w:t>千瓦</w:t>
      </w:r>
      <w:r>
        <w:rPr>
          <w:rFonts w:eastAsia="仿宋_GB2312" w:hint="eastAsia"/>
          <w:sz w:val="32"/>
          <w:szCs w:val="32"/>
        </w:rPr>
        <w:lastRenderedPageBreak/>
        <w:t>村级光伏电站全部建成并并网发电，建成</w:t>
      </w:r>
      <w:r>
        <w:rPr>
          <w:rFonts w:eastAsia="仿宋_GB2312"/>
          <w:sz w:val="32"/>
          <w:szCs w:val="32"/>
        </w:rPr>
        <w:t>12</w:t>
      </w:r>
      <w:r>
        <w:rPr>
          <w:rFonts w:eastAsia="仿宋_GB2312" w:hint="eastAsia"/>
          <w:sz w:val="32"/>
          <w:szCs w:val="32"/>
        </w:rPr>
        <w:t>个充电站</w:t>
      </w:r>
      <w:r>
        <w:rPr>
          <w:rFonts w:eastAsia="仿宋_GB2312"/>
          <w:sz w:val="32"/>
          <w:szCs w:val="32"/>
        </w:rPr>
        <w:t>383</w:t>
      </w:r>
      <w:r>
        <w:rPr>
          <w:rFonts w:eastAsia="仿宋_GB2312" w:hint="eastAsia"/>
          <w:sz w:val="32"/>
          <w:szCs w:val="32"/>
        </w:rPr>
        <w:t>根充电桩。</w:t>
      </w:r>
    </w:p>
    <w:p w14:paraId="25308F68" w14:textId="77777777" w:rsidR="008D68C9" w:rsidRDefault="00000000">
      <w:pPr>
        <w:spacing w:line="640" w:lineRule="exact"/>
        <w:ind w:firstLineChars="200" w:firstLine="640"/>
        <w:rPr>
          <w:rFonts w:eastAsia="仿宋_GB2312"/>
          <w:sz w:val="32"/>
          <w:szCs w:val="32"/>
        </w:rPr>
      </w:pPr>
      <w:r>
        <w:rPr>
          <w:rFonts w:ascii="楷体_GB2312" w:eastAsia="楷体_GB2312" w:hint="eastAsia"/>
          <w:bCs/>
          <w:kern w:val="44"/>
          <w:sz w:val="32"/>
          <w:szCs w:val="32"/>
          <w:shd w:val="clear" w:color="auto" w:fill="FFFFFF"/>
        </w:rPr>
        <w:t>（八）、</w:t>
      </w:r>
      <w:proofErr w:type="gramStart"/>
      <w:r>
        <w:rPr>
          <w:rFonts w:ascii="楷体_GB2312" w:eastAsia="楷体_GB2312" w:hint="eastAsia"/>
          <w:bCs/>
          <w:kern w:val="44"/>
          <w:sz w:val="32"/>
          <w:szCs w:val="32"/>
          <w:shd w:val="clear" w:color="auto" w:fill="FFFFFF"/>
        </w:rPr>
        <w:t>兜底线稳物价</w:t>
      </w:r>
      <w:proofErr w:type="gramEnd"/>
      <w:r>
        <w:rPr>
          <w:rFonts w:ascii="楷体_GB2312" w:eastAsia="楷体_GB2312" w:hint="eastAsia"/>
          <w:bCs/>
          <w:kern w:val="44"/>
          <w:sz w:val="32"/>
          <w:szCs w:val="32"/>
          <w:shd w:val="clear" w:color="auto" w:fill="FFFFFF"/>
        </w:rPr>
        <w:t>保安全，保障了人民的幸福生活。一是</w:t>
      </w:r>
      <w:r>
        <w:rPr>
          <w:rFonts w:eastAsia="仿宋_GB2312" w:hint="eastAsia"/>
          <w:kern w:val="0"/>
          <w:sz w:val="32"/>
          <w:szCs w:val="32"/>
          <w:shd w:val="clear" w:color="auto" w:fill="FFFFFF"/>
        </w:rPr>
        <w:t>加强粮食物资储备。</w:t>
      </w:r>
      <w:r>
        <w:rPr>
          <w:rFonts w:eastAsia="仿宋_GB2312" w:hint="eastAsia"/>
          <w:sz w:val="32"/>
          <w:szCs w:val="32"/>
        </w:rPr>
        <w:t>落实</w:t>
      </w:r>
      <w:r>
        <w:rPr>
          <w:rFonts w:eastAsia="仿宋_GB2312"/>
          <w:sz w:val="32"/>
          <w:szCs w:val="32"/>
        </w:rPr>
        <w:t>“</w:t>
      </w:r>
      <w:r>
        <w:rPr>
          <w:rFonts w:eastAsia="仿宋_GB2312" w:hint="eastAsia"/>
          <w:sz w:val="32"/>
          <w:szCs w:val="32"/>
        </w:rPr>
        <w:t>先检后收</w:t>
      </w:r>
      <w:r>
        <w:rPr>
          <w:rFonts w:eastAsia="仿宋_GB2312"/>
          <w:sz w:val="32"/>
          <w:szCs w:val="32"/>
        </w:rPr>
        <w:t>”</w:t>
      </w:r>
      <w:r>
        <w:rPr>
          <w:rFonts w:eastAsia="仿宋_GB2312" w:hint="eastAsia"/>
          <w:sz w:val="32"/>
          <w:szCs w:val="32"/>
        </w:rPr>
        <w:t>要求，确保不合格粮食不流入口粮市场，全年轮换入库</w:t>
      </w:r>
      <w:r>
        <w:rPr>
          <w:rFonts w:eastAsia="仿宋_GB2312"/>
          <w:sz w:val="32"/>
          <w:szCs w:val="32"/>
        </w:rPr>
        <w:t>22336</w:t>
      </w:r>
      <w:r>
        <w:rPr>
          <w:rFonts w:eastAsia="仿宋_GB2312" w:hint="eastAsia"/>
          <w:sz w:val="32"/>
          <w:szCs w:val="32"/>
        </w:rPr>
        <w:t>吨，现有成品粮（折合大米）</w:t>
      </w:r>
      <w:r>
        <w:rPr>
          <w:rFonts w:eastAsia="仿宋_GB2312"/>
          <w:sz w:val="32"/>
          <w:szCs w:val="32"/>
        </w:rPr>
        <w:t>6762</w:t>
      </w:r>
      <w:r>
        <w:rPr>
          <w:rFonts w:eastAsia="仿宋_GB2312" w:hint="eastAsia"/>
          <w:sz w:val="32"/>
          <w:szCs w:val="32"/>
        </w:rPr>
        <w:t>吨，食用油</w:t>
      </w:r>
      <w:r>
        <w:rPr>
          <w:rFonts w:eastAsia="仿宋_GB2312"/>
          <w:sz w:val="32"/>
          <w:szCs w:val="32"/>
        </w:rPr>
        <w:t>485</w:t>
      </w:r>
      <w:r>
        <w:rPr>
          <w:rFonts w:eastAsia="仿宋_GB2312" w:hint="eastAsia"/>
          <w:sz w:val="32"/>
          <w:szCs w:val="32"/>
        </w:rPr>
        <w:t>吨。严格落实军粮供应管理工作，确定了市级统筹配送单位。充实市级物资储备库，全市储存应急救灾物资</w:t>
      </w:r>
      <w:r>
        <w:rPr>
          <w:rFonts w:eastAsia="仿宋_GB2312"/>
          <w:sz w:val="32"/>
          <w:szCs w:val="32"/>
        </w:rPr>
        <w:t>59</w:t>
      </w:r>
      <w:r>
        <w:rPr>
          <w:rFonts w:eastAsia="仿宋_GB2312" w:hint="eastAsia"/>
          <w:sz w:val="32"/>
          <w:szCs w:val="32"/>
        </w:rPr>
        <w:t>个品种、</w:t>
      </w:r>
      <w:r>
        <w:rPr>
          <w:rFonts w:eastAsia="仿宋_GB2312"/>
          <w:sz w:val="32"/>
          <w:szCs w:val="32"/>
        </w:rPr>
        <w:t>97000</w:t>
      </w:r>
      <w:r>
        <w:rPr>
          <w:rFonts w:eastAsia="仿宋_GB2312" w:hint="eastAsia"/>
          <w:sz w:val="32"/>
          <w:szCs w:val="32"/>
        </w:rPr>
        <w:t>余件套，基本满足自然灾害</w:t>
      </w:r>
      <w:r>
        <w:rPr>
          <w:rFonts w:eastAsia="仿宋_GB2312"/>
          <w:sz w:val="32"/>
          <w:szCs w:val="32"/>
        </w:rPr>
        <w:t>“</w:t>
      </w:r>
      <w:r>
        <w:rPr>
          <w:rFonts w:eastAsia="仿宋_GB2312" w:hint="eastAsia"/>
          <w:sz w:val="32"/>
          <w:szCs w:val="32"/>
        </w:rPr>
        <w:t>三级响应</w:t>
      </w:r>
      <w:r>
        <w:rPr>
          <w:rFonts w:eastAsia="仿宋_GB2312"/>
          <w:sz w:val="32"/>
          <w:szCs w:val="32"/>
        </w:rPr>
        <w:t>”</w:t>
      </w:r>
      <w:r>
        <w:rPr>
          <w:rFonts w:eastAsia="仿宋_GB2312" w:hint="eastAsia"/>
          <w:sz w:val="32"/>
          <w:szCs w:val="32"/>
        </w:rPr>
        <w:t>要求。二是</w:t>
      </w:r>
      <w:proofErr w:type="gramStart"/>
      <w:r>
        <w:rPr>
          <w:rFonts w:eastAsia="仿宋_GB2312" w:hint="eastAsia"/>
          <w:sz w:val="32"/>
          <w:szCs w:val="32"/>
        </w:rPr>
        <w:t>持续抓好</w:t>
      </w:r>
      <w:proofErr w:type="gramEnd"/>
      <w:r>
        <w:rPr>
          <w:rFonts w:eastAsia="仿宋_GB2312" w:hint="eastAsia"/>
          <w:sz w:val="32"/>
          <w:szCs w:val="32"/>
        </w:rPr>
        <w:t>保供稳价。确定</w:t>
      </w:r>
      <w:r>
        <w:rPr>
          <w:rFonts w:eastAsia="仿宋_GB2312"/>
          <w:sz w:val="32"/>
          <w:szCs w:val="32"/>
        </w:rPr>
        <w:t>14</w:t>
      </w:r>
      <w:r>
        <w:rPr>
          <w:rFonts w:eastAsia="仿宋_GB2312" w:hint="eastAsia"/>
          <w:sz w:val="32"/>
          <w:szCs w:val="32"/>
        </w:rPr>
        <w:t>家企业为张家界市粮油应急保障单位，组织协调稻谷原料</w:t>
      </w:r>
      <w:r>
        <w:rPr>
          <w:rFonts w:eastAsia="仿宋_GB2312"/>
          <w:sz w:val="32"/>
          <w:szCs w:val="32"/>
        </w:rPr>
        <w:t>1.5</w:t>
      </w:r>
      <w:r>
        <w:rPr>
          <w:rFonts w:eastAsia="仿宋_GB2312" w:hint="eastAsia"/>
          <w:sz w:val="32"/>
          <w:szCs w:val="32"/>
        </w:rPr>
        <w:t>万吨、成品粮油</w:t>
      </w:r>
      <w:r>
        <w:rPr>
          <w:rFonts w:eastAsia="仿宋_GB2312"/>
          <w:sz w:val="32"/>
          <w:szCs w:val="32"/>
        </w:rPr>
        <w:t>1.2</w:t>
      </w:r>
      <w:r>
        <w:rPr>
          <w:rFonts w:eastAsia="仿宋_GB2312" w:hint="eastAsia"/>
          <w:sz w:val="32"/>
          <w:szCs w:val="32"/>
        </w:rPr>
        <w:t>万吨供应市场，千方百计保障粮油食品的市场供应。建立并启动市场价格异常波动突发事件应急响应机制，对重要民生商品及防疫医药品价格进行应急日监测。累计发放价格临时补贴</w:t>
      </w:r>
      <w:r>
        <w:rPr>
          <w:rFonts w:eastAsia="仿宋_GB2312"/>
          <w:sz w:val="32"/>
          <w:szCs w:val="32"/>
        </w:rPr>
        <w:t>3625.3</w:t>
      </w:r>
      <w:r>
        <w:rPr>
          <w:rFonts w:eastAsia="仿宋_GB2312" w:hint="eastAsia"/>
          <w:sz w:val="32"/>
          <w:szCs w:val="32"/>
        </w:rPr>
        <w:t>万元，受益人员</w:t>
      </w:r>
      <w:r>
        <w:rPr>
          <w:rFonts w:eastAsia="仿宋_GB2312"/>
          <w:sz w:val="32"/>
          <w:szCs w:val="32"/>
        </w:rPr>
        <w:t>77.49</w:t>
      </w:r>
      <w:r>
        <w:rPr>
          <w:rFonts w:eastAsia="仿宋_GB2312" w:hint="eastAsia"/>
          <w:sz w:val="32"/>
          <w:szCs w:val="32"/>
        </w:rPr>
        <w:t>万人次。三</w:t>
      </w:r>
      <w:r>
        <w:rPr>
          <w:rFonts w:eastAsia="仿宋_GB2312" w:hint="eastAsia"/>
          <w:b/>
          <w:kern w:val="44"/>
          <w:sz w:val="32"/>
          <w:szCs w:val="32"/>
        </w:rPr>
        <w:t>是</w:t>
      </w:r>
      <w:r>
        <w:rPr>
          <w:rFonts w:eastAsia="仿宋_GB2312" w:hint="eastAsia"/>
          <w:sz w:val="32"/>
          <w:szCs w:val="32"/>
        </w:rPr>
        <w:t>全力做好价格管理。依法开展了民用建筑通讯设施、疫情期间口罩生产、核心景区门票价格及武陵源环保车票等一批定价成本监审，扎实做好农产品价格成本调查。完成了</w:t>
      </w:r>
      <w:r>
        <w:rPr>
          <w:rFonts w:eastAsia="仿宋_GB2312" w:hint="eastAsia"/>
          <w:kern w:val="0"/>
          <w:sz w:val="32"/>
          <w:szCs w:val="32"/>
        </w:rPr>
        <w:t>武陵源核心景区、天门山</w:t>
      </w:r>
      <w:r>
        <w:rPr>
          <w:rFonts w:eastAsia="仿宋_GB2312" w:hint="eastAsia"/>
          <w:sz w:val="32"/>
          <w:szCs w:val="32"/>
        </w:rPr>
        <w:t>景区、宝峰湖景区、黄龙洞景区门票价格与交通服务价格拆分改革任务，</w:t>
      </w:r>
      <w:r>
        <w:rPr>
          <w:rFonts w:eastAsia="仿宋_GB2312"/>
          <w:sz w:val="32"/>
          <w:szCs w:val="32"/>
        </w:rPr>
        <w:t>11</w:t>
      </w:r>
      <w:r>
        <w:rPr>
          <w:rFonts w:eastAsia="仿宋_GB2312" w:hint="eastAsia"/>
          <w:sz w:val="32"/>
          <w:szCs w:val="32"/>
        </w:rPr>
        <w:t>个重点景区门票价格基本降价到位。</w:t>
      </w:r>
    </w:p>
    <w:p w14:paraId="52FA5DF9" w14:textId="77777777" w:rsidR="008D68C9" w:rsidRDefault="008D68C9">
      <w:pPr>
        <w:adjustRightInd w:val="0"/>
        <w:snapToGrid w:val="0"/>
        <w:spacing w:line="640" w:lineRule="exact"/>
        <w:rPr>
          <w:rFonts w:ascii="楷体_GB2312" w:eastAsia="楷体_GB2312"/>
          <w:sz w:val="32"/>
          <w:szCs w:val="32"/>
        </w:rPr>
      </w:pPr>
    </w:p>
    <w:p w14:paraId="69F40773" w14:textId="77777777" w:rsidR="008D68C9" w:rsidRDefault="008D68C9">
      <w:pPr>
        <w:adjustRightInd w:val="0"/>
        <w:snapToGrid w:val="0"/>
        <w:spacing w:line="640" w:lineRule="exact"/>
        <w:rPr>
          <w:rFonts w:ascii="楷体_GB2312" w:eastAsia="楷体_GB2312"/>
          <w:sz w:val="32"/>
          <w:szCs w:val="32"/>
        </w:rPr>
      </w:pPr>
    </w:p>
    <w:p w14:paraId="51CEB97E" w14:textId="77777777" w:rsidR="008D68C9" w:rsidRDefault="00000000">
      <w:pPr>
        <w:spacing w:line="640" w:lineRule="exact"/>
        <w:ind w:firstLineChars="200" w:firstLine="640"/>
        <w:rPr>
          <w:rFonts w:ascii="黑体" w:eastAsia="黑体" w:hAnsi="黑体"/>
          <w:sz w:val="32"/>
          <w:szCs w:val="32"/>
        </w:rPr>
      </w:pPr>
      <w:r>
        <w:rPr>
          <w:rFonts w:ascii="黑体" w:eastAsia="黑体" w:hAnsi="黑体" w:hint="eastAsia"/>
          <w:sz w:val="32"/>
          <w:szCs w:val="32"/>
        </w:rPr>
        <w:t>七、存在的问题及原因分析</w:t>
      </w:r>
    </w:p>
    <w:p w14:paraId="02AEF423" w14:textId="77777777" w:rsidR="008D68C9" w:rsidRDefault="00000000">
      <w:pPr>
        <w:adjustRightInd w:val="0"/>
        <w:snapToGrid w:val="0"/>
        <w:spacing w:line="640" w:lineRule="exact"/>
        <w:ind w:firstLineChars="200" w:firstLine="640"/>
        <w:rPr>
          <w:rFonts w:eastAsia="仿宋_GB2312"/>
          <w:sz w:val="32"/>
          <w:szCs w:val="32"/>
        </w:rPr>
      </w:pPr>
      <w:r>
        <w:rPr>
          <w:rFonts w:eastAsia="仿宋_GB2312" w:hint="eastAsia"/>
          <w:sz w:val="32"/>
          <w:szCs w:val="32"/>
        </w:rPr>
        <w:t>我委在编制部门年度预算时，虽然根据本单位职能职责和年度工作计划，但在</w:t>
      </w:r>
      <w:r>
        <w:rPr>
          <w:rFonts w:eastAsia="仿宋_GB2312"/>
          <w:sz w:val="32"/>
          <w:szCs w:val="32"/>
        </w:rPr>
        <w:t>20</w:t>
      </w:r>
      <w:r>
        <w:rPr>
          <w:rFonts w:eastAsia="仿宋_GB2312" w:hint="eastAsia"/>
          <w:sz w:val="32"/>
          <w:szCs w:val="32"/>
        </w:rPr>
        <w:t>20</w:t>
      </w:r>
      <w:r>
        <w:rPr>
          <w:rFonts w:eastAsia="仿宋_GB2312" w:hint="eastAsia"/>
          <w:sz w:val="32"/>
          <w:szCs w:val="32"/>
        </w:rPr>
        <w:t>年部门预算执行过程中，仍然存在以下问题。</w:t>
      </w:r>
    </w:p>
    <w:p w14:paraId="0CD8A2A2" w14:textId="77777777" w:rsidR="008D68C9" w:rsidRDefault="00000000">
      <w:pPr>
        <w:adjustRightInd w:val="0"/>
        <w:snapToGrid w:val="0"/>
        <w:spacing w:line="640" w:lineRule="exact"/>
        <w:ind w:firstLineChars="200" w:firstLine="640"/>
        <w:rPr>
          <w:rFonts w:eastAsia="仿宋_GB2312"/>
          <w:sz w:val="32"/>
          <w:szCs w:val="32"/>
        </w:rPr>
      </w:pPr>
      <w:r>
        <w:rPr>
          <w:rFonts w:ascii="楷体_GB2312" w:eastAsia="楷体_GB2312"/>
          <w:sz w:val="32"/>
          <w:szCs w:val="32"/>
        </w:rPr>
        <w:t>(</w:t>
      </w:r>
      <w:proofErr w:type="gramStart"/>
      <w:r>
        <w:rPr>
          <w:rFonts w:ascii="楷体_GB2312" w:eastAsia="楷体_GB2312" w:hint="eastAsia"/>
          <w:sz w:val="32"/>
          <w:szCs w:val="32"/>
        </w:rPr>
        <w:t>一</w:t>
      </w:r>
      <w:proofErr w:type="gramEnd"/>
      <w:r>
        <w:rPr>
          <w:rFonts w:ascii="楷体_GB2312" w:eastAsia="楷体_GB2312"/>
          <w:sz w:val="32"/>
          <w:szCs w:val="32"/>
        </w:rPr>
        <w:t xml:space="preserve">) </w:t>
      </w:r>
      <w:r>
        <w:rPr>
          <w:rFonts w:ascii="楷体_GB2312" w:eastAsia="楷体_GB2312" w:hint="eastAsia"/>
          <w:sz w:val="32"/>
          <w:szCs w:val="32"/>
        </w:rPr>
        <w:t>预算准确率有待提高。一是</w:t>
      </w:r>
      <w:r>
        <w:rPr>
          <w:rFonts w:eastAsia="仿宋_GB2312" w:hint="eastAsia"/>
          <w:sz w:val="32"/>
          <w:szCs w:val="32"/>
        </w:rPr>
        <w:t>由于工作职责的特殊性，市领导临时交办的中心工作较多，突发性的工作较多，导致年初编制预算时无法准确预计支出数，出现在年中临时追加预算和调整预算的情况。二是前瞻性不强，没有综合考虑单位公用经费及项目经费的支出。</w:t>
      </w:r>
    </w:p>
    <w:p w14:paraId="6DE3D201" w14:textId="77777777" w:rsidR="008D68C9" w:rsidRDefault="00000000">
      <w:pPr>
        <w:adjustRightInd w:val="0"/>
        <w:snapToGrid w:val="0"/>
        <w:spacing w:line="640" w:lineRule="exact"/>
        <w:ind w:firstLineChars="200" w:firstLine="640"/>
        <w:rPr>
          <w:rFonts w:ascii="楷体_GB2312" w:eastAsia="楷体_GB2312"/>
          <w:sz w:val="32"/>
          <w:szCs w:val="32"/>
        </w:rPr>
      </w:pPr>
      <w:r>
        <w:rPr>
          <w:rFonts w:ascii="楷体_GB2312" w:eastAsia="楷体_GB2312"/>
          <w:sz w:val="32"/>
          <w:szCs w:val="32"/>
        </w:rPr>
        <w:t>(</w:t>
      </w:r>
      <w:r>
        <w:rPr>
          <w:rFonts w:ascii="楷体_GB2312" w:eastAsia="楷体_GB2312" w:hint="eastAsia"/>
          <w:sz w:val="32"/>
          <w:szCs w:val="32"/>
        </w:rPr>
        <w:t>二</w:t>
      </w:r>
      <w:r>
        <w:rPr>
          <w:rFonts w:ascii="楷体_GB2312" w:eastAsia="楷体_GB2312"/>
          <w:sz w:val="32"/>
          <w:szCs w:val="32"/>
        </w:rPr>
        <w:t>)</w:t>
      </w:r>
      <w:r>
        <w:rPr>
          <w:rFonts w:ascii="楷体_GB2312" w:eastAsia="楷体_GB2312" w:hint="eastAsia"/>
          <w:sz w:val="32"/>
          <w:szCs w:val="32"/>
        </w:rPr>
        <w:t>预算执行存在偏差。由于预算安排不足，造成部分科目实际支出比预算偏高，缺口资金只能调剂其他资金使用，存在着预算项目间互相进行调剂的情况。</w:t>
      </w:r>
    </w:p>
    <w:p w14:paraId="57FC6730" w14:textId="77777777" w:rsidR="008D68C9" w:rsidRDefault="00000000">
      <w:pPr>
        <w:pStyle w:val="4"/>
        <w:rPr>
          <w:rFonts w:ascii="楷体_GB2312" w:eastAsia="楷体_GB2312" w:hAnsi="Times New Roman"/>
          <w:b w:val="0"/>
          <w:bCs w:val="0"/>
          <w:sz w:val="32"/>
          <w:szCs w:val="32"/>
        </w:rPr>
      </w:pPr>
      <w:r>
        <w:rPr>
          <w:rFonts w:ascii="楷体_GB2312" w:eastAsia="楷体_GB2312" w:hint="eastAsia"/>
          <w:sz w:val="32"/>
          <w:szCs w:val="32"/>
        </w:rPr>
        <w:t xml:space="preserve">   </w:t>
      </w:r>
      <w:r>
        <w:rPr>
          <w:rFonts w:ascii="楷体_GB2312" w:eastAsia="楷体_GB2312" w:hAnsi="Times New Roman" w:hint="eastAsia"/>
          <w:b w:val="0"/>
          <w:bCs w:val="0"/>
          <w:sz w:val="32"/>
          <w:szCs w:val="32"/>
        </w:rPr>
        <w:t xml:space="preserve"> （三）精细化管理有待加强。从绩效评价看，部门支出预算和绩效评价部分项目目标无法用量化指标来进行考评，需要进一步做到合理性与可操作性的有机统一。</w:t>
      </w:r>
    </w:p>
    <w:p w14:paraId="090F90A8" w14:textId="77777777" w:rsidR="008D68C9" w:rsidRDefault="00000000">
      <w:pPr>
        <w:tabs>
          <w:tab w:val="left" w:pos="4950"/>
        </w:tabs>
        <w:spacing w:line="640" w:lineRule="exact"/>
        <w:ind w:firstLineChars="200" w:firstLine="640"/>
        <w:rPr>
          <w:rFonts w:ascii="黑体" w:eastAsia="黑体" w:hAnsi="黑体"/>
          <w:sz w:val="32"/>
          <w:szCs w:val="32"/>
        </w:rPr>
      </w:pPr>
      <w:r>
        <w:rPr>
          <w:rFonts w:ascii="黑体" w:eastAsia="黑体" w:hAnsi="黑体" w:hint="eastAsia"/>
          <w:sz w:val="32"/>
          <w:szCs w:val="32"/>
        </w:rPr>
        <w:t>八、改进措施</w:t>
      </w:r>
      <w:bookmarkStart w:id="0" w:name="_Toc390113233"/>
    </w:p>
    <w:p w14:paraId="352D25F1" w14:textId="77777777" w:rsidR="008D68C9" w:rsidRDefault="00000000">
      <w:pPr>
        <w:tabs>
          <w:tab w:val="left" w:pos="4950"/>
        </w:tabs>
        <w:spacing w:line="640" w:lineRule="exact"/>
        <w:ind w:firstLineChars="200" w:firstLine="640"/>
        <w:rPr>
          <w:rFonts w:ascii="楷体_GB2312" w:eastAsia="楷体_GB2312"/>
          <w:sz w:val="32"/>
          <w:szCs w:val="32"/>
        </w:rPr>
      </w:pPr>
      <w:r>
        <w:rPr>
          <w:rFonts w:ascii="楷体_GB2312" w:eastAsia="楷体_GB2312" w:hint="eastAsia"/>
          <w:sz w:val="32"/>
          <w:szCs w:val="32"/>
        </w:rPr>
        <w:t>推行部门整体绩效评价管理制度是推进政府职能转变、提高政府执行力和公信力的重要举措，是转变机关作风、加强政府勤政廉政建设的重要抓手。我委高度重视绩效评价工作，下一步，</w:t>
      </w:r>
      <w:r>
        <w:rPr>
          <w:rFonts w:ascii="楷体_GB2312" w:eastAsia="楷体_GB2312" w:hint="eastAsia"/>
          <w:sz w:val="32"/>
          <w:szCs w:val="32"/>
        </w:rPr>
        <w:lastRenderedPageBreak/>
        <w:t>将继续加强绩效管理，强化我</w:t>
      </w:r>
      <w:proofErr w:type="gramStart"/>
      <w:r>
        <w:rPr>
          <w:rFonts w:ascii="楷体_GB2312" w:eastAsia="楷体_GB2312" w:hint="eastAsia"/>
          <w:sz w:val="32"/>
          <w:szCs w:val="32"/>
        </w:rPr>
        <w:t>委责任</w:t>
      </w:r>
      <w:proofErr w:type="gramEnd"/>
      <w:r>
        <w:rPr>
          <w:rFonts w:ascii="楷体_GB2312" w:eastAsia="楷体_GB2312" w:hint="eastAsia"/>
          <w:sz w:val="32"/>
          <w:szCs w:val="32"/>
        </w:rPr>
        <w:t>意识，提高财政资金使用效益。</w:t>
      </w:r>
    </w:p>
    <w:p w14:paraId="20156F23" w14:textId="77777777" w:rsidR="008D68C9" w:rsidRDefault="00000000">
      <w:pPr>
        <w:tabs>
          <w:tab w:val="left" w:pos="4950"/>
        </w:tabs>
        <w:spacing w:line="640" w:lineRule="exact"/>
        <w:ind w:firstLineChars="100" w:firstLine="320"/>
        <w:rPr>
          <w:rFonts w:ascii="仿宋" w:eastAsia="仿宋" w:hAnsi="仿宋"/>
          <w:sz w:val="32"/>
          <w:szCs w:val="32"/>
        </w:rPr>
      </w:pPr>
      <w:r>
        <w:rPr>
          <w:rFonts w:ascii="楷体_GB2312" w:eastAsia="楷体_GB2312" w:hint="eastAsia"/>
          <w:sz w:val="32"/>
          <w:szCs w:val="32"/>
        </w:rPr>
        <w:t xml:space="preserve"> （一）、实现绩效管理的规范化、常态化、全过程化。夯实工作基础、完善工作制度、细化工作内容，建立起对应的工作流程和业务规范，运用预算管理、对标管理、资产管理等手段，实现全过程控制，将财务管理由事后管理转化为事前控制、事中监督</w:t>
      </w:r>
      <w:r>
        <w:rPr>
          <w:rFonts w:ascii="仿宋" w:eastAsia="仿宋" w:hAnsi="仿宋" w:hint="eastAsia"/>
          <w:sz w:val="32"/>
          <w:szCs w:val="32"/>
        </w:rPr>
        <w:t>实现对财务工作的动态管理。</w:t>
      </w:r>
    </w:p>
    <w:p w14:paraId="71554A5C" w14:textId="77777777" w:rsidR="008D68C9" w:rsidRDefault="00000000">
      <w:pPr>
        <w:tabs>
          <w:tab w:val="left" w:pos="4950"/>
        </w:tabs>
        <w:spacing w:line="640" w:lineRule="exact"/>
        <w:ind w:firstLineChars="200" w:firstLine="640"/>
        <w:rPr>
          <w:rFonts w:ascii="仿宋" w:eastAsia="仿宋" w:hAnsi="仿宋"/>
          <w:sz w:val="32"/>
          <w:szCs w:val="32"/>
        </w:rPr>
      </w:pPr>
      <w:r>
        <w:rPr>
          <w:rFonts w:ascii="仿宋" w:eastAsia="仿宋" w:hAnsi="仿宋" w:hint="eastAsia"/>
          <w:sz w:val="32"/>
          <w:szCs w:val="32"/>
        </w:rPr>
        <w:t>(二)继续严格控制“三公”经费及办公行政经费，降低行政运行成本，提高行政效能，做到厉行节约，量入为出，收支平衡，充分发挥资金支出效益，在保障单位正常平稳运行日常工作的同时，努力达到部门整体支出绩效目标。</w:t>
      </w:r>
    </w:p>
    <w:p w14:paraId="7012918C" w14:textId="77777777" w:rsidR="008D68C9" w:rsidRDefault="00000000">
      <w:pPr>
        <w:tabs>
          <w:tab w:val="left" w:pos="4950"/>
        </w:tabs>
        <w:spacing w:line="640" w:lineRule="exact"/>
        <w:ind w:firstLineChars="200" w:firstLine="640"/>
        <w:rPr>
          <w:rFonts w:ascii="仿宋" w:eastAsia="仿宋" w:hAnsi="仿宋"/>
          <w:sz w:val="32"/>
          <w:szCs w:val="32"/>
        </w:rPr>
      </w:pPr>
      <w:r>
        <w:rPr>
          <w:rFonts w:ascii="仿宋" w:eastAsia="仿宋" w:hAnsi="仿宋" w:hint="eastAsia"/>
          <w:sz w:val="32"/>
          <w:szCs w:val="32"/>
        </w:rPr>
        <w:t>（三）、强化内部管理，健全单位内控制度。努力做到“使用有预算、开支有标准、审核有程序”，做到有章可循，违章必究，建立资产定期清查处置制度，有效地加强对单位内部的人、财、物的管理，不断提高资金使用效益，提高本单位整体支出绩效。</w:t>
      </w:r>
    </w:p>
    <w:bookmarkEnd w:id="0"/>
    <w:p w14:paraId="136697E1" w14:textId="77777777" w:rsidR="008D68C9" w:rsidRDefault="00000000">
      <w:pPr>
        <w:spacing w:line="640" w:lineRule="exact"/>
        <w:ind w:firstLineChars="200" w:firstLine="640"/>
        <w:rPr>
          <w:rFonts w:ascii="黑体" w:eastAsia="黑体" w:hAnsi="黑体"/>
          <w:sz w:val="32"/>
          <w:szCs w:val="32"/>
        </w:rPr>
      </w:pPr>
      <w:r>
        <w:rPr>
          <w:rFonts w:ascii="黑体" w:eastAsia="黑体" w:hAnsi="黑体" w:hint="eastAsia"/>
          <w:sz w:val="32"/>
          <w:szCs w:val="32"/>
        </w:rPr>
        <w:t xml:space="preserve">九、绩效自评结果拟应用和公开情况 </w:t>
      </w:r>
    </w:p>
    <w:p w14:paraId="61DD5B7E" w14:textId="77777777" w:rsidR="008D68C9" w:rsidRDefault="00000000">
      <w:pPr>
        <w:pStyle w:val="4"/>
        <w:ind w:firstLine="641"/>
        <w:rPr>
          <w:rFonts w:ascii="仿宋" w:eastAsia="仿宋" w:hAnsi="仿宋"/>
          <w:b w:val="0"/>
          <w:bCs w:val="0"/>
          <w:sz w:val="32"/>
          <w:szCs w:val="32"/>
        </w:rPr>
      </w:pPr>
      <w:r>
        <w:rPr>
          <w:rFonts w:ascii="仿宋" w:eastAsia="仿宋" w:hAnsi="仿宋" w:hint="eastAsia"/>
          <w:b w:val="0"/>
          <w:bCs w:val="0"/>
          <w:sz w:val="32"/>
          <w:szCs w:val="32"/>
        </w:rPr>
        <w:t>按照《2020年度部门整体支出绩效评价评价分表》要求，我们认真进行了自评打分，自评得分94.5分。今后将进一步加强我</w:t>
      </w:r>
      <w:proofErr w:type="gramStart"/>
      <w:r>
        <w:rPr>
          <w:rFonts w:ascii="仿宋" w:eastAsia="仿宋" w:hAnsi="仿宋" w:hint="eastAsia"/>
          <w:b w:val="0"/>
          <w:bCs w:val="0"/>
          <w:sz w:val="32"/>
          <w:szCs w:val="32"/>
        </w:rPr>
        <w:t>委整体</w:t>
      </w:r>
      <w:proofErr w:type="gramEnd"/>
      <w:r>
        <w:rPr>
          <w:rFonts w:ascii="仿宋" w:eastAsia="仿宋" w:hAnsi="仿宋" w:hint="eastAsia"/>
          <w:b w:val="0"/>
          <w:bCs w:val="0"/>
          <w:sz w:val="32"/>
          <w:szCs w:val="32"/>
        </w:rPr>
        <w:t>支出绩效评价工作，提升部门整体支出绩效评价水平。</w:t>
      </w:r>
    </w:p>
    <w:p w14:paraId="040BD8EE" w14:textId="77777777" w:rsidR="008D68C9" w:rsidRDefault="008D68C9">
      <w:pPr>
        <w:ind w:firstLine="641"/>
        <w:rPr>
          <w:sz w:val="32"/>
          <w:szCs w:val="32"/>
        </w:rPr>
      </w:pPr>
    </w:p>
    <w:p w14:paraId="558DC201" w14:textId="42453F06" w:rsidR="008D68C9" w:rsidRDefault="00B7091D">
      <w:pPr>
        <w:pStyle w:val="4"/>
      </w:pPr>
      <w:r>
        <w:rPr>
          <w:rFonts w:hint="eastAsia"/>
        </w:rPr>
        <w:lastRenderedPageBreak/>
        <w:t>附件</w:t>
      </w:r>
      <w:r>
        <w:rPr>
          <w:rFonts w:hint="eastAsia"/>
        </w:rPr>
        <w:t>1</w:t>
      </w:r>
    </w:p>
    <w:p w14:paraId="5D13BFA2" w14:textId="77777777" w:rsidR="008D68C9" w:rsidRDefault="00000000">
      <w:pPr>
        <w:ind w:leftChars="-405" w:left="-850" w:firstLineChars="500" w:firstLine="1800"/>
        <w:rPr>
          <w:rFonts w:ascii="黑体" w:eastAsia="黑体" w:hAnsi="黑体" w:cs="宋体"/>
          <w:color w:val="000000"/>
          <w:kern w:val="0"/>
          <w:sz w:val="36"/>
          <w:szCs w:val="36"/>
        </w:rPr>
      </w:pPr>
      <w:r>
        <w:rPr>
          <w:rFonts w:ascii="黑体" w:eastAsia="黑体" w:hAnsi="黑体" w:cs="宋体" w:hint="eastAsia"/>
          <w:color w:val="000000"/>
          <w:kern w:val="0"/>
          <w:sz w:val="36"/>
          <w:szCs w:val="36"/>
        </w:rPr>
        <w:t>2020年度部门整体支出绩效评价评分表</w:t>
      </w:r>
    </w:p>
    <w:p w14:paraId="59AB7EE5" w14:textId="77777777" w:rsidR="008D68C9" w:rsidRDefault="00000000">
      <w:pPr>
        <w:ind w:leftChars="-405" w:left="-850" w:firstLineChars="300" w:firstLine="630"/>
        <w:rPr>
          <w:rFonts w:ascii="仿宋" w:eastAsia="仿宋" w:hAnsi="仿宋"/>
          <w:szCs w:val="21"/>
        </w:rPr>
      </w:pPr>
      <w:r>
        <w:rPr>
          <w:rFonts w:ascii="仿宋" w:eastAsia="仿宋" w:hAnsi="仿宋" w:cs="宋体" w:hint="eastAsia"/>
          <w:color w:val="000000"/>
          <w:kern w:val="0"/>
          <w:szCs w:val="21"/>
        </w:rPr>
        <w:t>填报单位：张家界市发展和改革委员会</w:t>
      </w:r>
    </w:p>
    <w:tbl>
      <w:tblPr>
        <w:tblW w:w="9866" w:type="dxa"/>
        <w:jc w:val="center"/>
        <w:tblLook w:val="04A0" w:firstRow="1" w:lastRow="0" w:firstColumn="1" w:lastColumn="0" w:noHBand="0" w:noVBand="1"/>
      </w:tblPr>
      <w:tblGrid>
        <w:gridCol w:w="775"/>
        <w:gridCol w:w="671"/>
        <w:gridCol w:w="707"/>
        <w:gridCol w:w="541"/>
        <w:gridCol w:w="31"/>
        <w:gridCol w:w="2112"/>
        <w:gridCol w:w="2541"/>
        <w:gridCol w:w="1867"/>
        <w:gridCol w:w="621"/>
      </w:tblGrid>
      <w:tr w:rsidR="008D68C9" w14:paraId="1F5BC1D4" w14:textId="77777777">
        <w:trPr>
          <w:trHeight w:val="312"/>
          <w:jc w:val="center"/>
        </w:trPr>
        <w:tc>
          <w:tcPr>
            <w:tcW w:w="775" w:type="dxa"/>
            <w:vMerge w:val="restart"/>
            <w:tcBorders>
              <w:top w:val="single" w:sz="4" w:space="0" w:color="auto"/>
              <w:left w:val="single" w:sz="4" w:space="0" w:color="auto"/>
              <w:bottom w:val="single" w:sz="4" w:space="0" w:color="auto"/>
              <w:right w:val="single" w:sz="4" w:space="0" w:color="auto"/>
            </w:tcBorders>
            <w:vAlign w:val="center"/>
          </w:tcPr>
          <w:p w14:paraId="232FF740" w14:textId="77777777" w:rsidR="008D68C9" w:rsidRDefault="00000000">
            <w:pPr>
              <w:widowControl/>
              <w:jc w:val="left"/>
              <w:rPr>
                <w:rFonts w:ascii="仿宋_GB2312" w:eastAsia="仿宋_GB2312" w:hAnsi="宋体" w:cs="宋体"/>
                <w:color w:val="000000"/>
                <w:kern w:val="0"/>
                <w:sz w:val="20"/>
              </w:rPr>
            </w:pPr>
            <w:r>
              <w:rPr>
                <w:rFonts w:ascii="仿宋_GB2312" w:eastAsia="仿宋_GB2312" w:hAnsi="宋体" w:cs="宋体" w:hint="eastAsia"/>
                <w:color w:val="000000"/>
                <w:kern w:val="0"/>
                <w:sz w:val="20"/>
              </w:rPr>
              <w:t>一级指标</w:t>
            </w:r>
          </w:p>
        </w:tc>
        <w:tc>
          <w:tcPr>
            <w:tcW w:w="671" w:type="dxa"/>
            <w:vMerge w:val="restart"/>
            <w:tcBorders>
              <w:top w:val="single" w:sz="4" w:space="0" w:color="auto"/>
              <w:left w:val="single" w:sz="4" w:space="0" w:color="auto"/>
              <w:bottom w:val="single" w:sz="4" w:space="0" w:color="auto"/>
              <w:right w:val="single" w:sz="4" w:space="0" w:color="auto"/>
            </w:tcBorders>
            <w:vAlign w:val="center"/>
          </w:tcPr>
          <w:p w14:paraId="022D26D9" w14:textId="77777777" w:rsidR="008D68C9" w:rsidRDefault="00000000">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二级指标</w:t>
            </w:r>
          </w:p>
        </w:tc>
        <w:tc>
          <w:tcPr>
            <w:tcW w:w="707" w:type="dxa"/>
            <w:vMerge w:val="restart"/>
            <w:tcBorders>
              <w:top w:val="single" w:sz="4" w:space="0" w:color="auto"/>
              <w:left w:val="single" w:sz="4" w:space="0" w:color="auto"/>
              <w:bottom w:val="single" w:sz="4" w:space="0" w:color="auto"/>
              <w:right w:val="single" w:sz="4" w:space="0" w:color="auto"/>
            </w:tcBorders>
            <w:vAlign w:val="center"/>
          </w:tcPr>
          <w:p w14:paraId="19380915" w14:textId="77777777" w:rsidR="008D68C9" w:rsidRDefault="00000000">
            <w:pPr>
              <w:widowControl/>
              <w:jc w:val="center"/>
              <w:rPr>
                <w:rFonts w:ascii="仿宋_GB2312" w:eastAsia="仿宋_GB2312" w:hAnsi="宋体" w:cs="宋体"/>
                <w:color w:val="000000"/>
                <w:kern w:val="0"/>
                <w:sz w:val="18"/>
                <w:szCs w:val="18"/>
              </w:rPr>
            </w:pPr>
            <w:r>
              <w:rPr>
                <w:rFonts w:ascii="仿宋_GB2312" w:eastAsia="仿宋_GB2312" w:hAnsi="宋体" w:cs="宋体" w:hint="eastAsia"/>
                <w:color w:val="000000"/>
                <w:kern w:val="0"/>
                <w:sz w:val="18"/>
                <w:szCs w:val="18"/>
              </w:rPr>
              <w:t>三级指标</w:t>
            </w:r>
          </w:p>
        </w:tc>
        <w:tc>
          <w:tcPr>
            <w:tcW w:w="572" w:type="dxa"/>
            <w:gridSpan w:val="2"/>
            <w:vMerge w:val="restart"/>
            <w:tcBorders>
              <w:top w:val="single" w:sz="4" w:space="0" w:color="auto"/>
              <w:left w:val="single" w:sz="4" w:space="0" w:color="auto"/>
              <w:bottom w:val="single" w:sz="4" w:space="0" w:color="auto"/>
              <w:right w:val="single" w:sz="4" w:space="0" w:color="auto"/>
            </w:tcBorders>
            <w:vAlign w:val="center"/>
          </w:tcPr>
          <w:p w14:paraId="15C13197" w14:textId="77777777" w:rsidR="008D68C9" w:rsidRDefault="00000000">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分值</w:t>
            </w:r>
          </w:p>
        </w:tc>
        <w:tc>
          <w:tcPr>
            <w:tcW w:w="2112" w:type="dxa"/>
            <w:vMerge w:val="restart"/>
            <w:tcBorders>
              <w:top w:val="single" w:sz="4" w:space="0" w:color="auto"/>
              <w:left w:val="single" w:sz="4" w:space="0" w:color="auto"/>
              <w:bottom w:val="single" w:sz="4" w:space="0" w:color="auto"/>
              <w:right w:val="single" w:sz="4" w:space="0" w:color="auto"/>
            </w:tcBorders>
            <w:vAlign w:val="center"/>
          </w:tcPr>
          <w:p w14:paraId="2F9838DC" w14:textId="77777777" w:rsidR="008D68C9" w:rsidRDefault="00000000">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指标解释</w:t>
            </w:r>
          </w:p>
        </w:tc>
        <w:tc>
          <w:tcPr>
            <w:tcW w:w="2541" w:type="dxa"/>
            <w:vMerge w:val="restart"/>
            <w:tcBorders>
              <w:top w:val="single" w:sz="4" w:space="0" w:color="auto"/>
              <w:left w:val="single" w:sz="4" w:space="0" w:color="auto"/>
              <w:bottom w:val="single" w:sz="4" w:space="0" w:color="auto"/>
              <w:right w:val="single" w:sz="4" w:space="0" w:color="auto"/>
            </w:tcBorders>
            <w:vAlign w:val="center"/>
          </w:tcPr>
          <w:p w14:paraId="7DCA22F0" w14:textId="77777777" w:rsidR="008D68C9" w:rsidRDefault="00000000">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指标说明</w:t>
            </w:r>
          </w:p>
        </w:tc>
        <w:tc>
          <w:tcPr>
            <w:tcW w:w="1867" w:type="dxa"/>
            <w:vMerge w:val="restart"/>
            <w:tcBorders>
              <w:top w:val="single" w:sz="4" w:space="0" w:color="auto"/>
              <w:left w:val="single" w:sz="4" w:space="0" w:color="auto"/>
              <w:bottom w:val="single" w:sz="4" w:space="0" w:color="auto"/>
              <w:right w:val="single" w:sz="4" w:space="0" w:color="auto"/>
            </w:tcBorders>
            <w:vAlign w:val="center"/>
          </w:tcPr>
          <w:p w14:paraId="4EAB5B48" w14:textId="77777777" w:rsidR="008D68C9" w:rsidRDefault="00000000">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评价标准</w:t>
            </w:r>
          </w:p>
        </w:tc>
        <w:tc>
          <w:tcPr>
            <w:tcW w:w="621" w:type="dxa"/>
            <w:vMerge w:val="restart"/>
            <w:tcBorders>
              <w:top w:val="single" w:sz="4" w:space="0" w:color="auto"/>
              <w:left w:val="single" w:sz="4" w:space="0" w:color="auto"/>
              <w:bottom w:val="single" w:sz="4" w:space="0" w:color="auto"/>
              <w:right w:val="single" w:sz="4" w:space="0" w:color="auto"/>
            </w:tcBorders>
            <w:vAlign w:val="center"/>
          </w:tcPr>
          <w:p w14:paraId="1ED9AA02" w14:textId="77777777" w:rsidR="008D68C9" w:rsidRDefault="00000000">
            <w:pPr>
              <w:widowControl/>
              <w:jc w:val="center"/>
              <w:rPr>
                <w:rFonts w:ascii="仿宋_GB2312" w:eastAsia="仿宋_GB2312" w:hAnsi="宋体" w:cs="宋体"/>
                <w:color w:val="000000"/>
                <w:kern w:val="0"/>
                <w:sz w:val="20"/>
              </w:rPr>
            </w:pPr>
            <w:r>
              <w:rPr>
                <w:rFonts w:ascii="仿宋_GB2312" w:eastAsia="仿宋_GB2312" w:hAnsi="宋体" w:cs="宋体" w:hint="eastAsia"/>
                <w:color w:val="000000"/>
                <w:kern w:val="0"/>
                <w:sz w:val="20"/>
              </w:rPr>
              <w:t>得分</w:t>
            </w:r>
          </w:p>
        </w:tc>
      </w:tr>
      <w:tr w:rsidR="008D68C9" w14:paraId="21924C99" w14:textId="77777777">
        <w:trPr>
          <w:trHeight w:val="31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E27B736" w14:textId="77777777" w:rsidR="008D68C9" w:rsidRDefault="008D68C9">
            <w:pPr>
              <w:widowControl/>
              <w:jc w:val="left"/>
              <w:rPr>
                <w:rFonts w:ascii="仿宋_GB2312" w:eastAsia="仿宋_GB2312" w:hAnsi="宋体" w:cs="宋体"/>
                <w:color w:val="000000"/>
                <w:kern w:val="0"/>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4AC5A3F" w14:textId="77777777" w:rsidR="008D68C9" w:rsidRDefault="008D68C9">
            <w:pPr>
              <w:widowControl/>
              <w:jc w:val="left"/>
              <w:rPr>
                <w:rFonts w:ascii="仿宋_GB2312" w:eastAsia="仿宋_GB2312" w:hAnsi="宋体" w:cs="宋体"/>
                <w:color w:val="000000"/>
                <w:kern w:val="0"/>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30F159B" w14:textId="77777777" w:rsidR="008D68C9" w:rsidRDefault="008D68C9">
            <w:pPr>
              <w:widowControl/>
              <w:jc w:val="left"/>
              <w:rPr>
                <w:rFonts w:ascii="仿宋_GB2312" w:eastAsia="仿宋_GB2312" w:hAnsi="宋体" w:cs="宋体"/>
                <w:color w:val="000000"/>
                <w:kern w:val="0"/>
                <w:sz w:val="18"/>
                <w:szCs w:val="18"/>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14:paraId="44BC9262" w14:textId="77777777" w:rsidR="008D68C9" w:rsidRDefault="008D68C9">
            <w:pPr>
              <w:widowControl/>
              <w:jc w:val="left"/>
              <w:rPr>
                <w:rFonts w:ascii="仿宋_GB2312" w:eastAsia="仿宋_GB2312" w:hAnsi="宋体" w:cs="宋体"/>
                <w:color w:val="000000"/>
                <w:kern w:val="0"/>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148807D" w14:textId="77777777" w:rsidR="008D68C9" w:rsidRDefault="008D68C9">
            <w:pPr>
              <w:widowControl/>
              <w:jc w:val="left"/>
              <w:rPr>
                <w:rFonts w:ascii="仿宋_GB2312" w:eastAsia="仿宋_GB2312" w:hAnsi="宋体" w:cs="宋体"/>
                <w:color w:val="000000"/>
                <w:kern w:val="0"/>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575E872" w14:textId="77777777" w:rsidR="008D68C9" w:rsidRDefault="008D68C9">
            <w:pPr>
              <w:widowControl/>
              <w:jc w:val="left"/>
              <w:rPr>
                <w:rFonts w:ascii="仿宋_GB2312" w:eastAsia="仿宋_GB2312" w:hAnsi="宋体" w:cs="宋体"/>
                <w:color w:val="000000"/>
                <w:kern w:val="0"/>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7631742" w14:textId="77777777" w:rsidR="008D68C9" w:rsidRDefault="008D68C9">
            <w:pPr>
              <w:widowControl/>
              <w:jc w:val="left"/>
              <w:rPr>
                <w:rFonts w:ascii="仿宋_GB2312" w:eastAsia="仿宋_GB2312" w:hAnsi="宋体" w:cs="宋体"/>
                <w:color w:val="000000"/>
                <w:kern w:val="0"/>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F802181" w14:textId="77777777" w:rsidR="008D68C9" w:rsidRDefault="008D68C9">
            <w:pPr>
              <w:widowControl/>
              <w:jc w:val="left"/>
              <w:rPr>
                <w:rFonts w:ascii="仿宋_GB2312" w:eastAsia="仿宋_GB2312" w:hAnsi="宋体" w:cs="宋体"/>
                <w:color w:val="000000"/>
                <w:kern w:val="0"/>
                <w:sz w:val="20"/>
              </w:rPr>
            </w:pPr>
          </w:p>
        </w:tc>
      </w:tr>
      <w:tr w:rsidR="008D68C9" w14:paraId="63E5F976" w14:textId="77777777">
        <w:trPr>
          <w:trHeight w:val="1350"/>
          <w:jc w:val="center"/>
        </w:trPr>
        <w:tc>
          <w:tcPr>
            <w:tcW w:w="775" w:type="dxa"/>
            <w:vMerge w:val="restart"/>
            <w:tcBorders>
              <w:top w:val="nil"/>
              <w:left w:val="single" w:sz="4" w:space="0" w:color="auto"/>
              <w:bottom w:val="single" w:sz="4" w:space="0" w:color="auto"/>
              <w:right w:val="single" w:sz="4" w:space="0" w:color="auto"/>
            </w:tcBorders>
            <w:vAlign w:val="center"/>
          </w:tcPr>
          <w:p w14:paraId="04915171"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投入（10分）</w:t>
            </w:r>
          </w:p>
        </w:tc>
        <w:tc>
          <w:tcPr>
            <w:tcW w:w="671" w:type="dxa"/>
            <w:vMerge w:val="restart"/>
            <w:tcBorders>
              <w:top w:val="nil"/>
              <w:left w:val="single" w:sz="4" w:space="0" w:color="auto"/>
              <w:bottom w:val="single" w:sz="4" w:space="0" w:color="auto"/>
              <w:right w:val="single" w:sz="4" w:space="0" w:color="auto"/>
            </w:tcBorders>
            <w:vAlign w:val="center"/>
          </w:tcPr>
          <w:p w14:paraId="55EE16F2"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目标设定（4分）</w:t>
            </w:r>
          </w:p>
        </w:tc>
        <w:tc>
          <w:tcPr>
            <w:tcW w:w="707" w:type="dxa"/>
            <w:tcBorders>
              <w:top w:val="nil"/>
              <w:left w:val="single" w:sz="4" w:space="0" w:color="auto"/>
              <w:bottom w:val="single" w:sz="4" w:space="0" w:color="auto"/>
              <w:right w:val="single" w:sz="4" w:space="0" w:color="auto"/>
            </w:tcBorders>
            <w:vAlign w:val="center"/>
          </w:tcPr>
          <w:p w14:paraId="29F312EA"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绩效目标合理性</w:t>
            </w:r>
          </w:p>
        </w:tc>
        <w:tc>
          <w:tcPr>
            <w:tcW w:w="572" w:type="dxa"/>
            <w:gridSpan w:val="2"/>
            <w:tcBorders>
              <w:top w:val="nil"/>
              <w:left w:val="single" w:sz="4" w:space="0" w:color="auto"/>
              <w:bottom w:val="single" w:sz="4" w:space="0" w:color="auto"/>
              <w:right w:val="single" w:sz="4" w:space="0" w:color="auto"/>
            </w:tcBorders>
            <w:vAlign w:val="center"/>
          </w:tcPr>
          <w:p w14:paraId="6D295C0B"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2</w:t>
            </w:r>
          </w:p>
        </w:tc>
        <w:tc>
          <w:tcPr>
            <w:tcW w:w="2112" w:type="dxa"/>
            <w:tcBorders>
              <w:top w:val="nil"/>
              <w:left w:val="single" w:sz="4" w:space="0" w:color="auto"/>
              <w:bottom w:val="single" w:sz="4" w:space="0" w:color="auto"/>
              <w:right w:val="nil"/>
            </w:tcBorders>
            <w:vAlign w:val="center"/>
          </w:tcPr>
          <w:p w14:paraId="66BD054F" w14:textId="77777777" w:rsidR="008D68C9" w:rsidRDefault="00000000">
            <w:pPr>
              <w:widowControl/>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部门（单位）所设立的整体绩效目标依据是否充分，是否符合客观实际，用以反映和考核整体绩效目标与部门履职、年度工作任务的相符性情况。</w:t>
            </w:r>
          </w:p>
        </w:tc>
        <w:tc>
          <w:tcPr>
            <w:tcW w:w="2541" w:type="dxa"/>
            <w:tcBorders>
              <w:top w:val="nil"/>
              <w:left w:val="single" w:sz="4" w:space="0" w:color="auto"/>
              <w:bottom w:val="single" w:sz="4" w:space="0" w:color="auto"/>
              <w:right w:val="nil"/>
            </w:tcBorders>
            <w:vAlign w:val="center"/>
          </w:tcPr>
          <w:p w14:paraId="7C819684" w14:textId="77777777" w:rsidR="008D68C9" w:rsidRDefault="00000000">
            <w:pPr>
              <w:spacing w:line="240" w:lineRule="exact"/>
            </w:pPr>
            <w:r>
              <w:rPr>
                <w:rFonts w:ascii="宋体" w:hAnsi="宋体" w:cs="宋体" w:hint="eastAsia"/>
                <w:color w:val="000000"/>
                <w:kern w:val="0"/>
                <w:sz w:val="15"/>
                <w:szCs w:val="15"/>
              </w:rPr>
              <w:t>评价要点：①是否符合国家法律法规、国民经济和社会发展总体规划；②是否符合部门“三定”方案确定的职责；③是否符合部门制定的中长期实施规划。</w:t>
            </w:r>
          </w:p>
          <w:p w14:paraId="12783899" w14:textId="77777777" w:rsidR="008D68C9" w:rsidRDefault="008D68C9">
            <w:pPr>
              <w:widowControl/>
              <w:jc w:val="left"/>
              <w:rPr>
                <w:rFonts w:ascii="宋体" w:hAnsi="宋体" w:cs="宋体"/>
                <w:color w:val="000000"/>
                <w:kern w:val="0"/>
                <w:sz w:val="15"/>
                <w:szCs w:val="15"/>
              </w:rPr>
            </w:pPr>
          </w:p>
        </w:tc>
        <w:tc>
          <w:tcPr>
            <w:tcW w:w="1867" w:type="dxa"/>
            <w:tcBorders>
              <w:top w:val="nil"/>
              <w:left w:val="single" w:sz="4" w:space="0" w:color="auto"/>
              <w:bottom w:val="single" w:sz="4" w:space="0" w:color="auto"/>
              <w:right w:val="single" w:sz="4" w:space="0" w:color="auto"/>
            </w:tcBorders>
            <w:vAlign w:val="center"/>
          </w:tcPr>
          <w:p w14:paraId="291FF5C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合理：2分；较合理：1分；不合理：0分</w:t>
            </w:r>
          </w:p>
        </w:tc>
        <w:tc>
          <w:tcPr>
            <w:tcW w:w="621" w:type="dxa"/>
            <w:tcBorders>
              <w:top w:val="nil"/>
              <w:left w:val="nil"/>
              <w:bottom w:val="single" w:sz="4" w:space="0" w:color="auto"/>
              <w:right w:val="single" w:sz="4" w:space="0" w:color="auto"/>
            </w:tcBorders>
            <w:vAlign w:val="center"/>
          </w:tcPr>
          <w:p w14:paraId="4A240BD0"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2</w:t>
            </w:r>
          </w:p>
        </w:tc>
      </w:tr>
      <w:tr w:rsidR="008D68C9" w14:paraId="05347B72" w14:textId="77777777">
        <w:trPr>
          <w:trHeight w:val="1542"/>
          <w:jc w:val="center"/>
        </w:trPr>
        <w:tc>
          <w:tcPr>
            <w:tcW w:w="0" w:type="auto"/>
            <w:vMerge/>
            <w:tcBorders>
              <w:top w:val="nil"/>
              <w:left w:val="single" w:sz="4" w:space="0" w:color="auto"/>
              <w:bottom w:val="single" w:sz="4" w:space="0" w:color="auto"/>
              <w:right w:val="single" w:sz="4" w:space="0" w:color="auto"/>
            </w:tcBorders>
            <w:vAlign w:val="center"/>
          </w:tcPr>
          <w:p w14:paraId="08A007FA" w14:textId="77777777" w:rsidR="008D68C9" w:rsidRDefault="008D68C9">
            <w:pPr>
              <w:widowControl/>
              <w:jc w:val="left"/>
              <w:rPr>
                <w:rFonts w:ascii="宋体" w:hAnsi="宋体" w:cs="宋体"/>
                <w:color w:val="000000"/>
                <w:kern w:val="0"/>
                <w:sz w:val="15"/>
                <w:szCs w:val="15"/>
              </w:rPr>
            </w:pPr>
          </w:p>
        </w:tc>
        <w:tc>
          <w:tcPr>
            <w:tcW w:w="0" w:type="auto"/>
            <w:vMerge/>
            <w:tcBorders>
              <w:top w:val="nil"/>
              <w:left w:val="single" w:sz="4" w:space="0" w:color="auto"/>
              <w:bottom w:val="single" w:sz="4" w:space="0" w:color="auto"/>
              <w:right w:val="single" w:sz="4" w:space="0" w:color="auto"/>
            </w:tcBorders>
            <w:vAlign w:val="center"/>
          </w:tcPr>
          <w:p w14:paraId="7E5EA8B4" w14:textId="77777777" w:rsidR="008D68C9" w:rsidRDefault="008D68C9">
            <w:pPr>
              <w:widowControl/>
              <w:jc w:val="left"/>
              <w:rPr>
                <w:rFonts w:ascii="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14:paraId="107B0C03"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绩效目标明确性</w:t>
            </w:r>
          </w:p>
        </w:tc>
        <w:tc>
          <w:tcPr>
            <w:tcW w:w="572" w:type="dxa"/>
            <w:gridSpan w:val="2"/>
            <w:tcBorders>
              <w:top w:val="nil"/>
              <w:left w:val="single" w:sz="4" w:space="0" w:color="auto"/>
              <w:bottom w:val="single" w:sz="4" w:space="0" w:color="auto"/>
              <w:right w:val="single" w:sz="4" w:space="0" w:color="auto"/>
            </w:tcBorders>
            <w:vAlign w:val="center"/>
          </w:tcPr>
          <w:p w14:paraId="5B888410"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2</w:t>
            </w:r>
          </w:p>
        </w:tc>
        <w:tc>
          <w:tcPr>
            <w:tcW w:w="2112" w:type="dxa"/>
            <w:tcBorders>
              <w:top w:val="nil"/>
              <w:left w:val="single" w:sz="4" w:space="0" w:color="auto"/>
              <w:bottom w:val="single" w:sz="4" w:space="0" w:color="auto"/>
              <w:right w:val="nil"/>
            </w:tcBorders>
            <w:vAlign w:val="center"/>
          </w:tcPr>
          <w:p w14:paraId="1F3F43C3" w14:textId="77777777" w:rsidR="008D68C9" w:rsidRDefault="00000000">
            <w:pPr>
              <w:spacing w:line="240" w:lineRule="exact"/>
            </w:pPr>
            <w:r>
              <w:rPr>
                <w:rFonts w:ascii="宋体" w:hAnsi="宋体" w:cs="宋体" w:hint="eastAsia"/>
                <w:color w:val="000000"/>
                <w:kern w:val="0"/>
                <w:sz w:val="15"/>
                <w:szCs w:val="15"/>
              </w:rPr>
              <w:t>部门（单位）依据整体绩效目标所设定的绩效指标是否清晰、细化、可衡量，用以反映和考核整体绩效目标的</w:t>
            </w:r>
            <w:proofErr w:type="gramStart"/>
            <w:r>
              <w:rPr>
                <w:rFonts w:ascii="宋体" w:hAnsi="宋体" w:cs="宋体" w:hint="eastAsia"/>
                <w:color w:val="000000"/>
                <w:kern w:val="0"/>
                <w:sz w:val="15"/>
                <w:szCs w:val="15"/>
              </w:rPr>
              <w:t>明细化</w:t>
            </w:r>
            <w:proofErr w:type="gramEnd"/>
            <w:r>
              <w:rPr>
                <w:rFonts w:ascii="宋体" w:hAnsi="宋体" w:cs="宋体" w:hint="eastAsia"/>
                <w:color w:val="000000"/>
                <w:kern w:val="0"/>
                <w:sz w:val="15"/>
                <w:szCs w:val="15"/>
              </w:rPr>
              <w:t>情况。</w:t>
            </w:r>
          </w:p>
        </w:tc>
        <w:tc>
          <w:tcPr>
            <w:tcW w:w="2541" w:type="dxa"/>
            <w:tcBorders>
              <w:top w:val="nil"/>
              <w:left w:val="single" w:sz="4" w:space="0" w:color="auto"/>
              <w:bottom w:val="single" w:sz="4" w:space="0" w:color="auto"/>
              <w:right w:val="nil"/>
            </w:tcBorders>
            <w:vAlign w:val="center"/>
          </w:tcPr>
          <w:p w14:paraId="59176389" w14:textId="77777777" w:rsidR="008D68C9" w:rsidRDefault="00000000">
            <w:pPr>
              <w:spacing w:line="240" w:lineRule="exact"/>
            </w:pPr>
            <w:r>
              <w:rPr>
                <w:rFonts w:ascii="宋体" w:hAnsi="宋体" w:cs="宋体" w:hint="eastAsia"/>
                <w:color w:val="000000"/>
                <w:kern w:val="0"/>
                <w:sz w:val="15"/>
                <w:szCs w:val="15"/>
              </w:rPr>
              <w:t>评价要点：①是否将部门整体的绩效目标细化分解为具体的工作任务；②是否通过清晰、可衡量的指标</w:t>
            </w:r>
            <w:proofErr w:type="gramStart"/>
            <w:r>
              <w:rPr>
                <w:rFonts w:ascii="宋体" w:hAnsi="宋体" w:cs="宋体" w:hint="eastAsia"/>
                <w:color w:val="000000"/>
                <w:kern w:val="0"/>
                <w:sz w:val="15"/>
                <w:szCs w:val="15"/>
              </w:rPr>
              <w:t>值予以</w:t>
            </w:r>
            <w:proofErr w:type="gramEnd"/>
            <w:r>
              <w:rPr>
                <w:rFonts w:ascii="宋体" w:hAnsi="宋体" w:cs="宋体" w:hint="eastAsia"/>
                <w:color w:val="000000"/>
                <w:kern w:val="0"/>
                <w:sz w:val="15"/>
                <w:szCs w:val="15"/>
              </w:rPr>
              <w:t>体现；③是否与部门年度任务数或计划数相对应；④是否与本年度部门预算资金相匹配。</w:t>
            </w:r>
          </w:p>
          <w:p w14:paraId="7152547C" w14:textId="77777777" w:rsidR="008D68C9" w:rsidRDefault="008D68C9">
            <w:pPr>
              <w:widowControl/>
              <w:jc w:val="left"/>
              <w:rPr>
                <w:rFonts w:ascii="宋体" w:hAnsi="宋体" w:cs="宋体"/>
                <w:color w:val="000000"/>
                <w:kern w:val="0"/>
                <w:sz w:val="15"/>
                <w:szCs w:val="15"/>
              </w:rPr>
            </w:pPr>
          </w:p>
        </w:tc>
        <w:tc>
          <w:tcPr>
            <w:tcW w:w="1867" w:type="dxa"/>
            <w:tcBorders>
              <w:top w:val="nil"/>
              <w:left w:val="single" w:sz="4" w:space="0" w:color="auto"/>
              <w:bottom w:val="single" w:sz="4" w:space="0" w:color="auto"/>
              <w:right w:val="single" w:sz="4" w:space="0" w:color="auto"/>
            </w:tcBorders>
            <w:vAlign w:val="center"/>
          </w:tcPr>
          <w:p w14:paraId="7E801174"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明确：2分；较明确：1分；不明确：0分</w:t>
            </w:r>
          </w:p>
        </w:tc>
        <w:tc>
          <w:tcPr>
            <w:tcW w:w="621" w:type="dxa"/>
            <w:tcBorders>
              <w:top w:val="nil"/>
              <w:left w:val="nil"/>
              <w:bottom w:val="single" w:sz="4" w:space="0" w:color="auto"/>
              <w:right w:val="single" w:sz="4" w:space="0" w:color="auto"/>
            </w:tcBorders>
            <w:vAlign w:val="center"/>
          </w:tcPr>
          <w:p w14:paraId="122A8B7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2</w:t>
            </w:r>
          </w:p>
        </w:tc>
      </w:tr>
      <w:tr w:rsidR="008D68C9" w14:paraId="44DF6D96" w14:textId="77777777">
        <w:trPr>
          <w:trHeight w:val="1482"/>
          <w:jc w:val="center"/>
        </w:trPr>
        <w:tc>
          <w:tcPr>
            <w:tcW w:w="0" w:type="auto"/>
            <w:vMerge/>
            <w:tcBorders>
              <w:top w:val="nil"/>
              <w:left w:val="single" w:sz="4" w:space="0" w:color="auto"/>
              <w:bottom w:val="single" w:sz="4" w:space="0" w:color="auto"/>
              <w:right w:val="single" w:sz="4" w:space="0" w:color="auto"/>
            </w:tcBorders>
            <w:vAlign w:val="center"/>
          </w:tcPr>
          <w:p w14:paraId="49706E86" w14:textId="77777777" w:rsidR="008D68C9" w:rsidRDefault="008D68C9">
            <w:pPr>
              <w:widowControl/>
              <w:jc w:val="left"/>
              <w:rPr>
                <w:rFonts w:ascii="宋体" w:hAnsi="宋体" w:cs="宋体"/>
                <w:color w:val="000000"/>
                <w:kern w:val="0"/>
                <w:sz w:val="15"/>
                <w:szCs w:val="15"/>
              </w:rPr>
            </w:pPr>
          </w:p>
        </w:tc>
        <w:tc>
          <w:tcPr>
            <w:tcW w:w="671" w:type="dxa"/>
            <w:vMerge w:val="restart"/>
            <w:tcBorders>
              <w:top w:val="nil"/>
              <w:left w:val="single" w:sz="4" w:space="0" w:color="auto"/>
              <w:bottom w:val="single" w:sz="4" w:space="0" w:color="auto"/>
              <w:right w:val="single" w:sz="4" w:space="0" w:color="auto"/>
            </w:tcBorders>
            <w:vAlign w:val="center"/>
          </w:tcPr>
          <w:p w14:paraId="794CE7AA"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预算配置（6分）</w:t>
            </w:r>
          </w:p>
        </w:tc>
        <w:tc>
          <w:tcPr>
            <w:tcW w:w="707" w:type="dxa"/>
            <w:tcBorders>
              <w:top w:val="nil"/>
              <w:left w:val="single" w:sz="4" w:space="0" w:color="auto"/>
              <w:bottom w:val="single" w:sz="4" w:space="0" w:color="auto"/>
              <w:right w:val="single" w:sz="4" w:space="0" w:color="auto"/>
            </w:tcBorders>
            <w:vAlign w:val="center"/>
          </w:tcPr>
          <w:p w14:paraId="16604E8F"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在职人员控制率</w:t>
            </w:r>
          </w:p>
        </w:tc>
        <w:tc>
          <w:tcPr>
            <w:tcW w:w="572" w:type="dxa"/>
            <w:gridSpan w:val="2"/>
            <w:tcBorders>
              <w:top w:val="nil"/>
              <w:left w:val="single" w:sz="4" w:space="0" w:color="auto"/>
              <w:bottom w:val="single" w:sz="4" w:space="0" w:color="auto"/>
              <w:right w:val="single" w:sz="4" w:space="0" w:color="auto"/>
            </w:tcBorders>
            <w:vAlign w:val="center"/>
          </w:tcPr>
          <w:p w14:paraId="07B289B6"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3</w:t>
            </w:r>
          </w:p>
        </w:tc>
        <w:tc>
          <w:tcPr>
            <w:tcW w:w="2112" w:type="dxa"/>
            <w:tcBorders>
              <w:top w:val="nil"/>
              <w:left w:val="single" w:sz="4" w:space="0" w:color="auto"/>
              <w:bottom w:val="single" w:sz="4" w:space="0" w:color="auto"/>
              <w:right w:val="nil"/>
            </w:tcBorders>
            <w:vAlign w:val="center"/>
          </w:tcPr>
          <w:p w14:paraId="6759C2B6"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部门（单位）本年度实际在职人员数与编制数的比率，用以反映和考核对人员成本的控制程度。</w:t>
            </w:r>
          </w:p>
        </w:tc>
        <w:tc>
          <w:tcPr>
            <w:tcW w:w="2541" w:type="dxa"/>
            <w:tcBorders>
              <w:top w:val="nil"/>
              <w:left w:val="single" w:sz="4" w:space="0" w:color="auto"/>
              <w:bottom w:val="single" w:sz="4" w:space="0" w:color="auto"/>
              <w:right w:val="nil"/>
            </w:tcBorders>
            <w:vAlign w:val="center"/>
          </w:tcPr>
          <w:p w14:paraId="798FB7C6" w14:textId="77777777" w:rsidR="008D68C9" w:rsidRDefault="00000000">
            <w:pPr>
              <w:widowControl/>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在职人员控制率=（在职人员数/编制数）×100%，在职人员数：部门（单位）实际在职人数，以财政局确定的部门决算编制口径为准。</w:t>
            </w:r>
          </w:p>
          <w:p w14:paraId="198A2A35" w14:textId="77777777" w:rsidR="008D68C9" w:rsidRDefault="00000000">
            <w:pPr>
              <w:spacing w:line="240" w:lineRule="exact"/>
            </w:pPr>
            <w:r>
              <w:rPr>
                <w:rFonts w:ascii="宋体" w:hAnsi="宋体" w:cs="宋体" w:hint="eastAsia"/>
                <w:color w:val="000000"/>
                <w:kern w:val="0"/>
                <w:sz w:val="15"/>
                <w:szCs w:val="15"/>
              </w:rPr>
              <w:t>编制数：机构编制部门核定批复的部门（单位）的人员编制数。</w:t>
            </w:r>
          </w:p>
          <w:p w14:paraId="6481EFB8" w14:textId="77777777" w:rsidR="008D68C9" w:rsidRDefault="008D68C9">
            <w:pPr>
              <w:widowControl/>
              <w:spacing w:line="240" w:lineRule="exact"/>
              <w:jc w:val="left"/>
              <w:rPr>
                <w:rFonts w:ascii="宋体" w:hAnsi="宋体" w:cs="宋体"/>
                <w:color w:val="000000"/>
                <w:kern w:val="0"/>
                <w:sz w:val="15"/>
                <w:szCs w:val="15"/>
              </w:rPr>
            </w:pPr>
          </w:p>
        </w:tc>
        <w:tc>
          <w:tcPr>
            <w:tcW w:w="1867" w:type="dxa"/>
            <w:tcBorders>
              <w:top w:val="nil"/>
              <w:left w:val="single" w:sz="4" w:space="0" w:color="auto"/>
              <w:bottom w:val="single" w:sz="4" w:space="0" w:color="auto"/>
              <w:right w:val="single" w:sz="4" w:space="0" w:color="auto"/>
            </w:tcBorders>
            <w:vAlign w:val="center"/>
          </w:tcPr>
          <w:p w14:paraId="67D65616" w14:textId="77777777" w:rsidR="008D68C9" w:rsidRDefault="00000000">
            <w:pPr>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以100%为标准。在职人员控制率≦100%，计3分；每超过一个百分点扣0.5分，扣完为止。</w:t>
            </w:r>
          </w:p>
        </w:tc>
        <w:tc>
          <w:tcPr>
            <w:tcW w:w="621" w:type="dxa"/>
            <w:tcBorders>
              <w:top w:val="nil"/>
              <w:left w:val="nil"/>
              <w:bottom w:val="single" w:sz="4" w:space="0" w:color="auto"/>
              <w:right w:val="single" w:sz="4" w:space="0" w:color="auto"/>
            </w:tcBorders>
            <w:vAlign w:val="center"/>
          </w:tcPr>
          <w:p w14:paraId="24B16794"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1</w:t>
            </w:r>
          </w:p>
        </w:tc>
      </w:tr>
      <w:tr w:rsidR="008D68C9" w14:paraId="4CAA2200" w14:textId="77777777">
        <w:trPr>
          <w:trHeight w:val="1336"/>
          <w:jc w:val="center"/>
        </w:trPr>
        <w:tc>
          <w:tcPr>
            <w:tcW w:w="0" w:type="auto"/>
            <w:vMerge/>
            <w:tcBorders>
              <w:top w:val="nil"/>
              <w:left w:val="single" w:sz="4" w:space="0" w:color="auto"/>
              <w:bottom w:val="single" w:sz="4" w:space="0" w:color="auto"/>
              <w:right w:val="single" w:sz="4" w:space="0" w:color="auto"/>
            </w:tcBorders>
            <w:vAlign w:val="center"/>
          </w:tcPr>
          <w:p w14:paraId="4A7BDEA5" w14:textId="77777777" w:rsidR="008D68C9" w:rsidRDefault="008D68C9">
            <w:pPr>
              <w:widowControl/>
              <w:jc w:val="left"/>
              <w:rPr>
                <w:rFonts w:ascii="宋体" w:hAnsi="宋体" w:cs="宋体"/>
                <w:color w:val="000000"/>
                <w:kern w:val="0"/>
                <w:sz w:val="15"/>
                <w:szCs w:val="15"/>
              </w:rPr>
            </w:pPr>
          </w:p>
        </w:tc>
        <w:tc>
          <w:tcPr>
            <w:tcW w:w="0" w:type="auto"/>
            <w:vMerge/>
            <w:tcBorders>
              <w:top w:val="nil"/>
              <w:left w:val="single" w:sz="4" w:space="0" w:color="auto"/>
              <w:bottom w:val="single" w:sz="4" w:space="0" w:color="auto"/>
              <w:right w:val="single" w:sz="4" w:space="0" w:color="auto"/>
            </w:tcBorders>
            <w:vAlign w:val="center"/>
          </w:tcPr>
          <w:p w14:paraId="0D1940E7" w14:textId="77777777" w:rsidR="008D68C9" w:rsidRDefault="008D68C9">
            <w:pPr>
              <w:widowControl/>
              <w:jc w:val="left"/>
              <w:rPr>
                <w:rFonts w:ascii="宋体" w:hAnsi="宋体" w:cs="宋体"/>
                <w:color w:val="000000"/>
                <w:kern w:val="0"/>
                <w:sz w:val="15"/>
                <w:szCs w:val="15"/>
              </w:rPr>
            </w:pPr>
          </w:p>
        </w:tc>
        <w:tc>
          <w:tcPr>
            <w:tcW w:w="707" w:type="dxa"/>
            <w:tcBorders>
              <w:top w:val="nil"/>
              <w:left w:val="nil"/>
              <w:bottom w:val="single" w:sz="4" w:space="0" w:color="auto"/>
              <w:right w:val="single" w:sz="4" w:space="0" w:color="auto"/>
            </w:tcBorders>
            <w:vAlign w:val="center"/>
          </w:tcPr>
          <w:p w14:paraId="1CDB930B"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“三公经费”变动率</w:t>
            </w:r>
          </w:p>
        </w:tc>
        <w:tc>
          <w:tcPr>
            <w:tcW w:w="572" w:type="dxa"/>
            <w:gridSpan w:val="2"/>
            <w:tcBorders>
              <w:top w:val="nil"/>
              <w:left w:val="nil"/>
              <w:bottom w:val="single" w:sz="4" w:space="0" w:color="auto"/>
              <w:right w:val="single" w:sz="4" w:space="0" w:color="auto"/>
            </w:tcBorders>
            <w:vAlign w:val="center"/>
          </w:tcPr>
          <w:p w14:paraId="2EA4DE85"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3</w:t>
            </w:r>
          </w:p>
        </w:tc>
        <w:tc>
          <w:tcPr>
            <w:tcW w:w="2112" w:type="dxa"/>
            <w:tcBorders>
              <w:top w:val="single" w:sz="4" w:space="0" w:color="auto"/>
              <w:left w:val="nil"/>
              <w:bottom w:val="single" w:sz="4" w:space="0" w:color="auto"/>
              <w:right w:val="single" w:sz="4" w:space="0" w:color="auto"/>
            </w:tcBorders>
            <w:vAlign w:val="center"/>
          </w:tcPr>
          <w:p w14:paraId="05F95FC6" w14:textId="77777777" w:rsidR="008D68C9" w:rsidRDefault="00000000">
            <w:pPr>
              <w:spacing w:line="240" w:lineRule="exact"/>
            </w:pPr>
            <w:r>
              <w:rPr>
                <w:rFonts w:ascii="宋体" w:hAnsi="宋体" w:cs="宋体" w:hint="eastAsia"/>
                <w:color w:val="000000"/>
                <w:kern w:val="0"/>
                <w:sz w:val="15"/>
                <w:szCs w:val="15"/>
              </w:rPr>
              <w:t>部门（单位）本年度“三公经费”预算数与上年度“三公经费”预算数的变动比率，用以反映和考核对控制重点行政成本的努力程度。</w:t>
            </w:r>
          </w:p>
        </w:tc>
        <w:tc>
          <w:tcPr>
            <w:tcW w:w="2541" w:type="dxa"/>
            <w:tcBorders>
              <w:top w:val="single" w:sz="4" w:space="0" w:color="auto"/>
              <w:left w:val="nil"/>
              <w:bottom w:val="single" w:sz="4" w:space="0" w:color="auto"/>
              <w:right w:val="single" w:sz="4" w:space="0" w:color="auto"/>
            </w:tcBorders>
          </w:tcPr>
          <w:p w14:paraId="4ADBDF09" w14:textId="77777777" w:rsidR="008D68C9" w:rsidRDefault="00000000">
            <w:pPr>
              <w:spacing w:line="240" w:lineRule="exact"/>
            </w:pPr>
            <w:r>
              <w:rPr>
                <w:rFonts w:ascii="宋体" w:hAnsi="宋体" w:cs="宋体" w:hint="eastAsia"/>
                <w:color w:val="000000"/>
                <w:kern w:val="0"/>
                <w:sz w:val="15"/>
                <w:szCs w:val="15"/>
              </w:rPr>
              <w:t>“三公经费”变动率=[（本年度“三公经费”预算数-上年度“三公经费”预算数）/上年度“三公经费”预算数]×100%。</w:t>
            </w:r>
          </w:p>
          <w:p w14:paraId="70082745" w14:textId="77777777" w:rsidR="008D68C9" w:rsidRDefault="008D68C9">
            <w:pPr>
              <w:widowControl/>
              <w:spacing w:line="240" w:lineRule="exact"/>
              <w:rPr>
                <w:rFonts w:ascii="宋体" w:hAnsi="宋体" w:cs="宋体"/>
                <w:color w:val="000000"/>
                <w:kern w:val="0"/>
                <w:sz w:val="15"/>
                <w:szCs w:val="15"/>
              </w:rPr>
            </w:pPr>
          </w:p>
        </w:tc>
        <w:tc>
          <w:tcPr>
            <w:tcW w:w="1867" w:type="dxa"/>
            <w:tcBorders>
              <w:top w:val="single" w:sz="4" w:space="0" w:color="auto"/>
              <w:left w:val="single" w:sz="4" w:space="0" w:color="auto"/>
              <w:bottom w:val="single" w:sz="4" w:space="0" w:color="auto"/>
              <w:right w:val="single" w:sz="4" w:space="0" w:color="auto"/>
            </w:tcBorders>
          </w:tcPr>
          <w:p w14:paraId="03D77B74" w14:textId="77777777" w:rsidR="008D68C9" w:rsidRDefault="00000000">
            <w:pPr>
              <w:spacing w:line="240" w:lineRule="exact"/>
            </w:pPr>
            <w:r>
              <w:rPr>
                <w:rFonts w:ascii="宋体" w:hAnsi="宋体" w:cs="宋体" w:hint="eastAsia"/>
                <w:color w:val="000000"/>
                <w:kern w:val="0"/>
                <w:sz w:val="15"/>
                <w:szCs w:val="15"/>
              </w:rPr>
              <w:t>“三公经费”变动率≦0,计3分；“三公经费”变动率＞0，每超过一个百分点扣0.5分，扣完为止。</w:t>
            </w:r>
          </w:p>
        </w:tc>
        <w:tc>
          <w:tcPr>
            <w:tcW w:w="621" w:type="dxa"/>
            <w:tcBorders>
              <w:top w:val="nil"/>
              <w:left w:val="nil"/>
              <w:bottom w:val="single" w:sz="4" w:space="0" w:color="auto"/>
              <w:right w:val="single" w:sz="4" w:space="0" w:color="auto"/>
            </w:tcBorders>
            <w:vAlign w:val="center"/>
          </w:tcPr>
          <w:p w14:paraId="7CA7CE81" w14:textId="77777777" w:rsidR="008D68C9" w:rsidRDefault="00000000">
            <w:pPr>
              <w:widowControl/>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3</w:t>
            </w:r>
          </w:p>
        </w:tc>
      </w:tr>
      <w:tr w:rsidR="008D68C9" w14:paraId="437A1A10" w14:textId="77777777">
        <w:trPr>
          <w:trHeight w:val="1409"/>
          <w:jc w:val="center"/>
        </w:trPr>
        <w:tc>
          <w:tcPr>
            <w:tcW w:w="775" w:type="dxa"/>
            <w:vMerge w:val="restart"/>
            <w:tcBorders>
              <w:top w:val="single" w:sz="4" w:space="0" w:color="auto"/>
              <w:left w:val="single" w:sz="4" w:space="0" w:color="auto"/>
              <w:bottom w:val="single" w:sz="4" w:space="0" w:color="auto"/>
              <w:right w:val="single" w:sz="4" w:space="0" w:color="auto"/>
            </w:tcBorders>
            <w:vAlign w:val="center"/>
          </w:tcPr>
          <w:p w14:paraId="35E72CA6" w14:textId="77777777" w:rsidR="008D68C9" w:rsidRDefault="00000000">
            <w:pPr>
              <w:widowControl/>
              <w:rPr>
                <w:rFonts w:ascii="宋体" w:hAnsi="宋体" w:cs="宋体"/>
                <w:color w:val="000000"/>
                <w:kern w:val="0"/>
                <w:sz w:val="15"/>
                <w:szCs w:val="15"/>
              </w:rPr>
            </w:pPr>
            <w:r>
              <w:rPr>
                <w:rFonts w:ascii="宋体" w:hAnsi="宋体" w:cs="宋体" w:hint="eastAsia"/>
                <w:color w:val="000000"/>
                <w:kern w:val="0"/>
                <w:sz w:val="15"/>
                <w:szCs w:val="15"/>
              </w:rPr>
              <w:t xml:space="preserve">                                                       过程（50分 ）                                                   </w:t>
            </w:r>
          </w:p>
          <w:p w14:paraId="00A89D32" w14:textId="77777777" w:rsidR="008D68C9" w:rsidRDefault="00000000">
            <w:pPr>
              <w:jc w:val="left"/>
              <w:rPr>
                <w:rFonts w:ascii="宋体" w:hAnsi="宋体" w:cs="宋体"/>
                <w:color w:val="000000"/>
                <w:kern w:val="0"/>
                <w:sz w:val="15"/>
                <w:szCs w:val="15"/>
              </w:rPr>
            </w:pPr>
            <w:r>
              <w:rPr>
                <w:rFonts w:ascii="宋体" w:hAnsi="宋体" w:cs="宋体" w:hint="eastAsia"/>
                <w:color w:val="000000"/>
                <w:kern w:val="0"/>
                <w:sz w:val="15"/>
                <w:szCs w:val="15"/>
              </w:rPr>
              <w:t xml:space="preserve">                                                                 过程(50分)                                                                  </w:t>
            </w:r>
          </w:p>
        </w:tc>
        <w:tc>
          <w:tcPr>
            <w:tcW w:w="671" w:type="dxa"/>
            <w:vMerge w:val="restart"/>
            <w:tcBorders>
              <w:top w:val="single" w:sz="4" w:space="0" w:color="auto"/>
              <w:left w:val="single" w:sz="4" w:space="0" w:color="auto"/>
              <w:bottom w:val="single" w:sz="4" w:space="0" w:color="auto"/>
              <w:right w:val="single" w:sz="4" w:space="0" w:color="auto"/>
            </w:tcBorders>
            <w:vAlign w:val="center"/>
          </w:tcPr>
          <w:p w14:paraId="5FA3462D"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预算执行</w:t>
            </w:r>
          </w:p>
          <w:p w14:paraId="15C82356" w14:textId="77777777" w:rsidR="008D68C9" w:rsidRDefault="00000000">
            <w:pPr>
              <w:jc w:val="center"/>
              <w:rPr>
                <w:rFonts w:ascii="宋体" w:hAnsi="宋体" w:cs="宋体"/>
                <w:color w:val="000000"/>
                <w:kern w:val="0"/>
                <w:sz w:val="15"/>
                <w:szCs w:val="15"/>
              </w:rPr>
            </w:pPr>
            <w:r>
              <w:rPr>
                <w:rFonts w:ascii="宋体" w:hAnsi="宋体" w:cs="宋体" w:hint="eastAsia"/>
                <w:color w:val="000000"/>
                <w:kern w:val="0"/>
                <w:sz w:val="15"/>
                <w:szCs w:val="15"/>
              </w:rPr>
              <w:t>（32分）</w:t>
            </w:r>
          </w:p>
        </w:tc>
        <w:tc>
          <w:tcPr>
            <w:tcW w:w="707" w:type="dxa"/>
            <w:tcBorders>
              <w:top w:val="nil"/>
              <w:left w:val="single" w:sz="4" w:space="0" w:color="auto"/>
              <w:bottom w:val="single" w:sz="4" w:space="0" w:color="auto"/>
              <w:right w:val="single" w:sz="4" w:space="0" w:color="auto"/>
            </w:tcBorders>
            <w:vAlign w:val="center"/>
          </w:tcPr>
          <w:p w14:paraId="3A006A44"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预算到位率</w:t>
            </w:r>
          </w:p>
        </w:tc>
        <w:tc>
          <w:tcPr>
            <w:tcW w:w="572" w:type="dxa"/>
            <w:gridSpan w:val="2"/>
            <w:tcBorders>
              <w:top w:val="nil"/>
              <w:left w:val="nil"/>
              <w:bottom w:val="single" w:sz="4" w:space="0" w:color="auto"/>
              <w:right w:val="single" w:sz="4" w:space="0" w:color="auto"/>
            </w:tcBorders>
            <w:vAlign w:val="center"/>
          </w:tcPr>
          <w:p w14:paraId="3CF98C3E"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nil"/>
              <w:left w:val="nil"/>
              <w:bottom w:val="single" w:sz="4" w:space="0" w:color="auto"/>
              <w:right w:val="single" w:sz="4" w:space="0" w:color="auto"/>
            </w:tcBorders>
            <w:vAlign w:val="center"/>
          </w:tcPr>
          <w:p w14:paraId="4C8602AF"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部门（单位）本年度部门预算数与部门决算数的比率，用以反映和考核预算完成程度。</w:t>
            </w:r>
          </w:p>
        </w:tc>
        <w:tc>
          <w:tcPr>
            <w:tcW w:w="2541" w:type="dxa"/>
            <w:tcBorders>
              <w:top w:val="nil"/>
              <w:left w:val="nil"/>
              <w:bottom w:val="single" w:sz="4" w:space="0" w:color="auto"/>
              <w:right w:val="single" w:sz="4" w:space="0" w:color="auto"/>
            </w:tcBorders>
            <w:vAlign w:val="center"/>
          </w:tcPr>
          <w:p w14:paraId="4C21DD7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预算到位率=预算数/决算数×100%。</w:t>
            </w:r>
          </w:p>
        </w:tc>
        <w:tc>
          <w:tcPr>
            <w:tcW w:w="1867" w:type="dxa"/>
            <w:tcBorders>
              <w:top w:val="nil"/>
              <w:left w:val="nil"/>
              <w:bottom w:val="single" w:sz="4" w:space="0" w:color="auto"/>
              <w:right w:val="single" w:sz="4" w:space="0" w:color="auto"/>
            </w:tcBorders>
            <w:vAlign w:val="center"/>
          </w:tcPr>
          <w:p w14:paraId="4A395181"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≥90%：5分；每减少10%的完成率扣1分，扣完为止</w:t>
            </w:r>
          </w:p>
        </w:tc>
        <w:tc>
          <w:tcPr>
            <w:tcW w:w="621" w:type="dxa"/>
            <w:tcBorders>
              <w:top w:val="nil"/>
              <w:left w:val="nil"/>
              <w:bottom w:val="single" w:sz="4" w:space="0" w:color="auto"/>
              <w:right w:val="single" w:sz="4" w:space="0" w:color="auto"/>
            </w:tcBorders>
            <w:vAlign w:val="center"/>
          </w:tcPr>
          <w:p w14:paraId="13F89BB5" w14:textId="77777777" w:rsidR="008D68C9" w:rsidRDefault="00000000">
            <w:pPr>
              <w:widowControl/>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5</w:t>
            </w:r>
          </w:p>
        </w:tc>
      </w:tr>
      <w:tr w:rsidR="008D68C9" w14:paraId="515197F0" w14:textId="77777777">
        <w:trPr>
          <w:trHeight w:val="199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E46B134"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908E61E" w14:textId="77777777" w:rsidR="008D68C9" w:rsidRDefault="008D68C9">
            <w:pPr>
              <w:widowControl/>
              <w:jc w:val="left"/>
              <w:rPr>
                <w:rFonts w:ascii="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14:paraId="2570D8A7"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预算控制率</w:t>
            </w:r>
          </w:p>
        </w:tc>
        <w:tc>
          <w:tcPr>
            <w:tcW w:w="572" w:type="dxa"/>
            <w:gridSpan w:val="2"/>
            <w:tcBorders>
              <w:top w:val="nil"/>
              <w:left w:val="nil"/>
              <w:bottom w:val="single" w:sz="4" w:space="0" w:color="auto"/>
              <w:right w:val="single" w:sz="4" w:space="0" w:color="auto"/>
            </w:tcBorders>
            <w:vAlign w:val="center"/>
          </w:tcPr>
          <w:p w14:paraId="75344AA4"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nil"/>
              <w:left w:val="nil"/>
              <w:bottom w:val="single" w:sz="4" w:space="0" w:color="auto"/>
              <w:right w:val="single" w:sz="4" w:space="0" w:color="auto"/>
            </w:tcBorders>
            <w:vAlign w:val="center"/>
          </w:tcPr>
          <w:p w14:paraId="72207CD2"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部门（单位）本年度预算调整数与预算数的比率，用以反映和考核预算的调整程度。</w:t>
            </w:r>
          </w:p>
        </w:tc>
        <w:tc>
          <w:tcPr>
            <w:tcW w:w="2541" w:type="dxa"/>
            <w:tcBorders>
              <w:top w:val="nil"/>
              <w:left w:val="nil"/>
              <w:bottom w:val="single" w:sz="4" w:space="0" w:color="auto"/>
              <w:right w:val="single" w:sz="4" w:space="0" w:color="auto"/>
            </w:tcBorders>
            <w:vAlign w:val="center"/>
          </w:tcPr>
          <w:p w14:paraId="63617F3F" w14:textId="77777777" w:rsidR="008D68C9" w:rsidRDefault="00000000">
            <w:pPr>
              <w:spacing w:line="240" w:lineRule="exact"/>
            </w:pPr>
            <w:r>
              <w:rPr>
                <w:rFonts w:ascii="宋体" w:hAnsi="宋体" w:cs="宋体" w:hint="eastAsia"/>
                <w:color w:val="000000"/>
                <w:kern w:val="0"/>
                <w:sz w:val="15"/>
                <w:szCs w:val="15"/>
              </w:rPr>
              <w:t>预算控制率=（预算调整数/预算数）×100%。</w:t>
            </w:r>
            <w:r>
              <w:rPr>
                <w:rFonts w:ascii="宋体" w:hAnsi="宋体" w:cs="宋体" w:hint="eastAsia"/>
                <w:color w:val="000000"/>
                <w:kern w:val="0"/>
                <w:sz w:val="15"/>
                <w:szCs w:val="15"/>
              </w:rPr>
              <w:br/>
              <w:t>预算调整数：部门（单位）在本年度内涉及预算的追加、追减或结构调整的资金总和（因落实国家政策、发生不可抗力、上级部门或本级党委政府临时交办而产生的调整除外）。</w:t>
            </w:r>
          </w:p>
          <w:p w14:paraId="2E5B7093" w14:textId="77777777" w:rsidR="008D68C9" w:rsidRDefault="008D68C9">
            <w:pPr>
              <w:widowControl/>
              <w:jc w:val="left"/>
              <w:rPr>
                <w:rFonts w:ascii="宋体" w:hAnsi="宋体" w:cs="宋体"/>
                <w:color w:val="000000"/>
                <w:kern w:val="0"/>
                <w:sz w:val="15"/>
                <w:szCs w:val="15"/>
              </w:rPr>
            </w:pPr>
          </w:p>
        </w:tc>
        <w:tc>
          <w:tcPr>
            <w:tcW w:w="1867" w:type="dxa"/>
            <w:tcBorders>
              <w:top w:val="nil"/>
              <w:left w:val="nil"/>
              <w:bottom w:val="single" w:sz="4" w:space="0" w:color="auto"/>
              <w:right w:val="single" w:sz="4" w:space="0" w:color="auto"/>
            </w:tcBorders>
            <w:vAlign w:val="center"/>
          </w:tcPr>
          <w:p w14:paraId="04FA8555"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≤0：5分；每增加10%的</w:t>
            </w:r>
            <w:proofErr w:type="gramStart"/>
            <w:r>
              <w:rPr>
                <w:rFonts w:ascii="宋体" w:hAnsi="宋体" w:cs="宋体" w:hint="eastAsia"/>
                <w:color w:val="000000"/>
                <w:kern w:val="0"/>
                <w:sz w:val="15"/>
                <w:szCs w:val="15"/>
              </w:rPr>
              <w:t>调整率扣1分</w:t>
            </w:r>
            <w:proofErr w:type="gramEnd"/>
            <w:r>
              <w:rPr>
                <w:rFonts w:ascii="宋体" w:hAnsi="宋体" w:cs="宋体" w:hint="eastAsia"/>
                <w:color w:val="000000"/>
                <w:kern w:val="0"/>
                <w:sz w:val="15"/>
                <w:szCs w:val="15"/>
              </w:rPr>
              <w:t>，扣完为止</w:t>
            </w:r>
          </w:p>
        </w:tc>
        <w:tc>
          <w:tcPr>
            <w:tcW w:w="621" w:type="dxa"/>
            <w:tcBorders>
              <w:top w:val="nil"/>
              <w:left w:val="nil"/>
              <w:bottom w:val="single" w:sz="4" w:space="0" w:color="auto"/>
              <w:right w:val="single" w:sz="4" w:space="0" w:color="auto"/>
            </w:tcBorders>
            <w:vAlign w:val="center"/>
          </w:tcPr>
          <w:p w14:paraId="19D9BDC3" w14:textId="77777777" w:rsidR="008D68C9" w:rsidRDefault="00000000">
            <w:pPr>
              <w:widowControl/>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4</w:t>
            </w:r>
          </w:p>
        </w:tc>
      </w:tr>
      <w:tr w:rsidR="008D68C9" w14:paraId="566D9A69" w14:textId="77777777">
        <w:trPr>
          <w:trHeight w:val="127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23EB192"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A2F10A4" w14:textId="77777777" w:rsidR="008D68C9" w:rsidRDefault="008D68C9">
            <w:pPr>
              <w:widowControl/>
              <w:jc w:val="left"/>
              <w:rPr>
                <w:rFonts w:ascii="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14:paraId="7A9E6547"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结余结转率</w:t>
            </w:r>
          </w:p>
        </w:tc>
        <w:tc>
          <w:tcPr>
            <w:tcW w:w="572" w:type="dxa"/>
            <w:gridSpan w:val="2"/>
            <w:tcBorders>
              <w:top w:val="single" w:sz="4" w:space="0" w:color="auto"/>
              <w:left w:val="single" w:sz="4" w:space="0" w:color="auto"/>
              <w:bottom w:val="single" w:sz="4" w:space="0" w:color="auto"/>
              <w:right w:val="single" w:sz="4" w:space="0" w:color="auto"/>
            </w:tcBorders>
            <w:vAlign w:val="center"/>
          </w:tcPr>
          <w:p w14:paraId="29A03ED1"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single" w:sz="4" w:space="0" w:color="auto"/>
              <w:left w:val="single" w:sz="4" w:space="0" w:color="auto"/>
              <w:bottom w:val="single" w:sz="4" w:space="0" w:color="auto"/>
              <w:right w:val="single" w:sz="4" w:space="0" w:color="auto"/>
            </w:tcBorders>
            <w:vAlign w:val="center"/>
          </w:tcPr>
          <w:p w14:paraId="0396B2AB" w14:textId="77777777" w:rsidR="008D68C9" w:rsidRDefault="00000000">
            <w:pPr>
              <w:spacing w:line="240" w:lineRule="exact"/>
            </w:pPr>
            <w:r>
              <w:rPr>
                <w:rFonts w:ascii="宋体" w:hAnsi="宋体" w:cs="宋体" w:hint="eastAsia"/>
                <w:color w:val="000000"/>
                <w:kern w:val="0"/>
                <w:sz w:val="15"/>
                <w:szCs w:val="15"/>
              </w:rPr>
              <w:t>部门（单位）本年度结转结余总额与支出预算数的比率，用以反映和考核对本年度结转结余资金的实际控制程度。</w:t>
            </w:r>
          </w:p>
        </w:tc>
        <w:tc>
          <w:tcPr>
            <w:tcW w:w="2541" w:type="dxa"/>
            <w:tcBorders>
              <w:top w:val="single" w:sz="4" w:space="0" w:color="auto"/>
              <w:left w:val="single" w:sz="4" w:space="0" w:color="auto"/>
              <w:bottom w:val="single" w:sz="4" w:space="0" w:color="auto"/>
              <w:right w:val="single" w:sz="4" w:space="0" w:color="auto"/>
            </w:tcBorders>
            <w:vAlign w:val="center"/>
          </w:tcPr>
          <w:p w14:paraId="4750FC53" w14:textId="77777777" w:rsidR="008D68C9" w:rsidRDefault="00000000">
            <w:pPr>
              <w:spacing w:line="240" w:lineRule="exact"/>
            </w:pPr>
            <w:r>
              <w:rPr>
                <w:rFonts w:ascii="宋体" w:hAnsi="宋体" w:cs="宋体" w:hint="eastAsia"/>
                <w:color w:val="000000"/>
                <w:kern w:val="0"/>
                <w:sz w:val="15"/>
                <w:szCs w:val="15"/>
              </w:rPr>
              <w:t>结转结余率=结转结余总额/支出决算数×100%。</w:t>
            </w:r>
            <w:r>
              <w:rPr>
                <w:rFonts w:ascii="宋体" w:hAnsi="宋体" w:cs="宋体" w:hint="eastAsia"/>
                <w:color w:val="000000"/>
                <w:kern w:val="0"/>
                <w:sz w:val="15"/>
                <w:szCs w:val="15"/>
              </w:rPr>
              <w:br/>
              <w:t>结转结余总额：部门（单位）本年度的结转资金与结余资金之和（以决算数为准）。</w:t>
            </w:r>
          </w:p>
          <w:p w14:paraId="08ECCA75" w14:textId="77777777" w:rsidR="008D68C9" w:rsidRDefault="008D68C9">
            <w:pPr>
              <w:widowControl/>
              <w:jc w:val="left"/>
              <w:rPr>
                <w:rFonts w:ascii="宋体" w:hAnsi="宋体" w:cs="宋体"/>
                <w:color w:val="000000"/>
                <w:kern w:val="0"/>
                <w:sz w:val="15"/>
                <w:szCs w:val="15"/>
              </w:rPr>
            </w:pPr>
          </w:p>
        </w:tc>
        <w:tc>
          <w:tcPr>
            <w:tcW w:w="1867" w:type="dxa"/>
            <w:tcBorders>
              <w:top w:val="single" w:sz="4" w:space="0" w:color="auto"/>
              <w:left w:val="single" w:sz="4" w:space="0" w:color="auto"/>
              <w:bottom w:val="single" w:sz="4" w:space="0" w:color="auto"/>
              <w:right w:val="single" w:sz="4" w:space="0" w:color="auto"/>
            </w:tcBorders>
          </w:tcPr>
          <w:p w14:paraId="7F1F96DC"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lastRenderedPageBreak/>
              <w:t>≤9%：5分；每增加10%的</w:t>
            </w:r>
            <w:proofErr w:type="gramStart"/>
            <w:r>
              <w:rPr>
                <w:rFonts w:ascii="宋体" w:hAnsi="宋体" w:cs="宋体" w:hint="eastAsia"/>
                <w:color w:val="000000"/>
                <w:kern w:val="0"/>
                <w:sz w:val="15"/>
                <w:szCs w:val="15"/>
              </w:rPr>
              <w:t>调整率扣1分</w:t>
            </w:r>
            <w:proofErr w:type="gramEnd"/>
            <w:r>
              <w:rPr>
                <w:rFonts w:ascii="宋体" w:hAnsi="宋体" w:cs="宋体" w:hint="eastAsia"/>
                <w:color w:val="000000"/>
                <w:kern w:val="0"/>
                <w:sz w:val="15"/>
                <w:szCs w:val="15"/>
              </w:rPr>
              <w:t>，扣完为止</w:t>
            </w:r>
          </w:p>
        </w:tc>
        <w:tc>
          <w:tcPr>
            <w:tcW w:w="621" w:type="dxa"/>
            <w:tcBorders>
              <w:top w:val="single" w:sz="4" w:space="0" w:color="auto"/>
              <w:left w:val="single" w:sz="4" w:space="0" w:color="auto"/>
              <w:bottom w:val="single" w:sz="4" w:space="0" w:color="auto"/>
              <w:right w:val="single" w:sz="4" w:space="0" w:color="auto"/>
            </w:tcBorders>
            <w:vAlign w:val="center"/>
          </w:tcPr>
          <w:p w14:paraId="79EB6423" w14:textId="77777777" w:rsidR="008D68C9" w:rsidRDefault="00000000">
            <w:pPr>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4</w:t>
            </w:r>
          </w:p>
        </w:tc>
      </w:tr>
      <w:tr w:rsidR="008D68C9" w14:paraId="7E7C2F4F" w14:textId="77777777">
        <w:trPr>
          <w:trHeight w:hRule="exact" w:val="1418"/>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5C9862F" w14:textId="77777777" w:rsidR="008D68C9" w:rsidRDefault="008D68C9">
            <w:pPr>
              <w:widowControl/>
              <w:jc w:val="left"/>
              <w:rPr>
                <w:rFonts w:ascii="宋体" w:hAnsi="宋体" w:cs="宋体"/>
                <w:color w:val="000000"/>
                <w:kern w:val="0"/>
                <w:sz w:val="15"/>
                <w:szCs w:val="15"/>
              </w:rPr>
            </w:pPr>
          </w:p>
        </w:tc>
        <w:tc>
          <w:tcPr>
            <w:tcW w:w="671" w:type="dxa"/>
            <w:vMerge w:val="restart"/>
            <w:tcBorders>
              <w:top w:val="single" w:sz="4" w:space="0" w:color="auto"/>
              <w:left w:val="single" w:sz="4" w:space="0" w:color="auto"/>
              <w:bottom w:val="single" w:sz="4" w:space="0" w:color="auto"/>
              <w:right w:val="single" w:sz="4" w:space="0" w:color="auto"/>
            </w:tcBorders>
            <w:vAlign w:val="center"/>
          </w:tcPr>
          <w:p w14:paraId="5F2DA352" w14:textId="77777777" w:rsidR="008D68C9" w:rsidRDefault="00000000">
            <w:pPr>
              <w:jc w:val="center"/>
              <w:rPr>
                <w:rFonts w:ascii="宋体" w:hAnsi="宋体" w:cs="宋体"/>
                <w:color w:val="000000"/>
                <w:kern w:val="0"/>
                <w:sz w:val="15"/>
                <w:szCs w:val="15"/>
              </w:rPr>
            </w:pPr>
            <w:r>
              <w:rPr>
                <w:rFonts w:ascii="宋体" w:hAnsi="宋体" w:cs="宋体" w:hint="eastAsia"/>
                <w:color w:val="000000"/>
                <w:kern w:val="0"/>
                <w:sz w:val="15"/>
                <w:szCs w:val="15"/>
              </w:rPr>
              <w:t>预算执行32分</w:t>
            </w:r>
          </w:p>
        </w:tc>
        <w:tc>
          <w:tcPr>
            <w:tcW w:w="707" w:type="dxa"/>
            <w:tcBorders>
              <w:top w:val="single" w:sz="4" w:space="0" w:color="auto"/>
              <w:left w:val="single" w:sz="4" w:space="0" w:color="auto"/>
              <w:bottom w:val="single" w:sz="4" w:space="0" w:color="auto"/>
              <w:right w:val="single" w:sz="4" w:space="0" w:color="auto"/>
            </w:tcBorders>
            <w:vAlign w:val="center"/>
          </w:tcPr>
          <w:p w14:paraId="74DF705B"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结余结转变动率</w:t>
            </w:r>
          </w:p>
        </w:tc>
        <w:tc>
          <w:tcPr>
            <w:tcW w:w="572" w:type="dxa"/>
            <w:gridSpan w:val="2"/>
            <w:tcBorders>
              <w:top w:val="single" w:sz="4" w:space="0" w:color="auto"/>
              <w:left w:val="single" w:sz="4" w:space="0" w:color="auto"/>
              <w:bottom w:val="single" w:sz="4" w:space="0" w:color="auto"/>
              <w:right w:val="single" w:sz="4" w:space="0" w:color="auto"/>
            </w:tcBorders>
            <w:vAlign w:val="center"/>
          </w:tcPr>
          <w:p w14:paraId="3AE63EA8"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single" w:sz="4" w:space="0" w:color="auto"/>
              <w:left w:val="single" w:sz="4" w:space="0" w:color="auto"/>
              <w:bottom w:val="single" w:sz="4" w:space="0" w:color="auto"/>
              <w:right w:val="single" w:sz="4" w:space="0" w:color="auto"/>
            </w:tcBorders>
            <w:vAlign w:val="center"/>
          </w:tcPr>
          <w:p w14:paraId="2DFE8694" w14:textId="77777777" w:rsidR="008D68C9" w:rsidRDefault="00000000">
            <w:pPr>
              <w:spacing w:line="240" w:lineRule="exact"/>
            </w:pPr>
            <w:r>
              <w:rPr>
                <w:rFonts w:ascii="宋体" w:hAnsi="宋体" w:cs="宋体" w:hint="eastAsia"/>
                <w:color w:val="000000"/>
                <w:kern w:val="0"/>
                <w:sz w:val="15"/>
                <w:szCs w:val="15"/>
              </w:rPr>
              <w:t>部门（单位）本年度结转结余资金总额与上年度结转结余资金总额的变动比率，用以反映和考核对控制结转结余资金的努力程度。</w:t>
            </w:r>
          </w:p>
        </w:tc>
        <w:tc>
          <w:tcPr>
            <w:tcW w:w="2541" w:type="dxa"/>
            <w:tcBorders>
              <w:top w:val="single" w:sz="4" w:space="0" w:color="auto"/>
              <w:left w:val="single" w:sz="4" w:space="0" w:color="auto"/>
              <w:bottom w:val="single" w:sz="4" w:space="0" w:color="auto"/>
              <w:right w:val="single" w:sz="4" w:space="0" w:color="auto"/>
            </w:tcBorders>
            <w:vAlign w:val="center"/>
          </w:tcPr>
          <w:p w14:paraId="187DA38D" w14:textId="77777777" w:rsidR="008D68C9" w:rsidRDefault="00000000">
            <w:pPr>
              <w:spacing w:line="240" w:lineRule="exact"/>
            </w:pPr>
            <w:r>
              <w:rPr>
                <w:rFonts w:ascii="宋体" w:hAnsi="宋体" w:cs="宋体" w:hint="eastAsia"/>
                <w:color w:val="000000"/>
                <w:kern w:val="0"/>
                <w:sz w:val="15"/>
                <w:szCs w:val="15"/>
              </w:rPr>
              <w:t>结转结余变动率=[（本年度累计结转结余资金总额-上年度累计结转结余资金总额）/上年度累计结转结余资金总额]×100%。</w:t>
            </w:r>
          </w:p>
          <w:p w14:paraId="26F80C26" w14:textId="77777777" w:rsidR="008D68C9" w:rsidRDefault="008D68C9">
            <w:pPr>
              <w:widowControl/>
              <w:jc w:val="left"/>
              <w:rPr>
                <w:rFonts w:ascii="宋体" w:hAnsi="宋体" w:cs="宋体"/>
                <w:color w:val="000000"/>
                <w:kern w:val="0"/>
                <w:sz w:val="15"/>
                <w:szCs w:val="15"/>
              </w:rPr>
            </w:pPr>
          </w:p>
        </w:tc>
        <w:tc>
          <w:tcPr>
            <w:tcW w:w="1867" w:type="dxa"/>
            <w:tcBorders>
              <w:top w:val="single" w:sz="4" w:space="0" w:color="auto"/>
              <w:left w:val="single" w:sz="4" w:space="0" w:color="auto"/>
              <w:bottom w:val="single" w:sz="4" w:space="0" w:color="auto"/>
              <w:right w:val="single" w:sz="4" w:space="0" w:color="auto"/>
            </w:tcBorders>
          </w:tcPr>
          <w:p w14:paraId="14F6E2ED"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≤10%：5分；每增加10%的</w:t>
            </w:r>
            <w:proofErr w:type="gramStart"/>
            <w:r>
              <w:rPr>
                <w:rFonts w:ascii="宋体" w:hAnsi="宋体" w:cs="宋体" w:hint="eastAsia"/>
                <w:color w:val="000000"/>
                <w:kern w:val="0"/>
                <w:sz w:val="15"/>
                <w:szCs w:val="15"/>
              </w:rPr>
              <w:t>调整率扣1分</w:t>
            </w:r>
            <w:proofErr w:type="gramEnd"/>
            <w:r>
              <w:rPr>
                <w:rFonts w:ascii="宋体" w:hAnsi="宋体" w:cs="宋体" w:hint="eastAsia"/>
                <w:color w:val="000000"/>
                <w:kern w:val="0"/>
                <w:sz w:val="15"/>
                <w:szCs w:val="15"/>
              </w:rPr>
              <w:t>，扣完为止</w:t>
            </w:r>
          </w:p>
        </w:tc>
        <w:tc>
          <w:tcPr>
            <w:tcW w:w="621" w:type="dxa"/>
            <w:tcBorders>
              <w:top w:val="single" w:sz="4" w:space="0" w:color="auto"/>
              <w:left w:val="single" w:sz="4" w:space="0" w:color="auto"/>
              <w:bottom w:val="single" w:sz="4" w:space="0" w:color="auto"/>
              <w:right w:val="single" w:sz="4" w:space="0" w:color="auto"/>
            </w:tcBorders>
            <w:vAlign w:val="center"/>
          </w:tcPr>
          <w:p w14:paraId="5E6C5EC2" w14:textId="77777777" w:rsidR="008D68C9" w:rsidRDefault="00000000">
            <w:pPr>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5</w:t>
            </w:r>
          </w:p>
        </w:tc>
      </w:tr>
      <w:tr w:rsidR="008D68C9" w14:paraId="64EFBB66" w14:textId="77777777">
        <w:trPr>
          <w:trHeight w:val="126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D2FED0C"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32A5CF3C" w14:textId="77777777" w:rsidR="008D68C9" w:rsidRDefault="008D68C9">
            <w:pPr>
              <w:widowControl/>
              <w:jc w:val="left"/>
              <w:rPr>
                <w:rFonts w:ascii="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14:paraId="1E0BFD9A"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公用经费控制率</w:t>
            </w:r>
          </w:p>
        </w:tc>
        <w:tc>
          <w:tcPr>
            <w:tcW w:w="572" w:type="dxa"/>
            <w:gridSpan w:val="2"/>
            <w:tcBorders>
              <w:top w:val="single" w:sz="4" w:space="0" w:color="auto"/>
              <w:left w:val="single" w:sz="4" w:space="0" w:color="auto"/>
              <w:bottom w:val="single" w:sz="4" w:space="0" w:color="auto"/>
              <w:right w:val="single" w:sz="4" w:space="0" w:color="auto"/>
            </w:tcBorders>
            <w:vAlign w:val="center"/>
          </w:tcPr>
          <w:p w14:paraId="4D0CB764"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4</w:t>
            </w:r>
          </w:p>
        </w:tc>
        <w:tc>
          <w:tcPr>
            <w:tcW w:w="2112" w:type="dxa"/>
            <w:tcBorders>
              <w:top w:val="single" w:sz="4" w:space="0" w:color="auto"/>
              <w:left w:val="single" w:sz="4" w:space="0" w:color="auto"/>
              <w:bottom w:val="single" w:sz="4" w:space="0" w:color="auto"/>
              <w:right w:val="single" w:sz="4" w:space="0" w:color="auto"/>
            </w:tcBorders>
            <w:vAlign w:val="center"/>
          </w:tcPr>
          <w:p w14:paraId="7BE444E0" w14:textId="77777777" w:rsidR="008D68C9" w:rsidRDefault="00000000">
            <w:pPr>
              <w:widowControl/>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部门（单位）本年度实际支出的公用经费总额与预算安排的公用经费总额的比率，用以反映和考核对机构运转成本的实际控制程度。</w:t>
            </w:r>
          </w:p>
        </w:tc>
        <w:tc>
          <w:tcPr>
            <w:tcW w:w="2541" w:type="dxa"/>
            <w:tcBorders>
              <w:top w:val="single" w:sz="4" w:space="0" w:color="auto"/>
              <w:left w:val="single" w:sz="4" w:space="0" w:color="auto"/>
              <w:bottom w:val="single" w:sz="4" w:space="0" w:color="auto"/>
              <w:right w:val="single" w:sz="4" w:space="0" w:color="auto"/>
            </w:tcBorders>
            <w:vAlign w:val="center"/>
          </w:tcPr>
          <w:p w14:paraId="7F334580" w14:textId="77777777" w:rsidR="008D68C9" w:rsidRDefault="00000000">
            <w:pPr>
              <w:spacing w:line="240" w:lineRule="exact"/>
            </w:pPr>
            <w:r>
              <w:rPr>
                <w:rFonts w:ascii="宋体" w:hAnsi="宋体" w:cs="宋体" w:hint="eastAsia"/>
                <w:color w:val="000000"/>
                <w:kern w:val="0"/>
                <w:sz w:val="15"/>
                <w:szCs w:val="15"/>
              </w:rPr>
              <w:t>公用经费控制率=（实际支出公用经费总额/预算安排公用经费总额）×100%。公用经费支出是指部门基本支出中的一般商品和服务支出。</w:t>
            </w:r>
          </w:p>
          <w:p w14:paraId="6CFE30B7" w14:textId="77777777" w:rsidR="008D68C9" w:rsidRDefault="008D68C9">
            <w:pPr>
              <w:widowControl/>
              <w:jc w:val="left"/>
              <w:rPr>
                <w:rFonts w:ascii="宋体" w:hAnsi="宋体" w:cs="宋体"/>
                <w:color w:val="000000"/>
                <w:kern w:val="0"/>
                <w:sz w:val="15"/>
                <w:szCs w:val="15"/>
              </w:rPr>
            </w:pPr>
          </w:p>
        </w:tc>
        <w:tc>
          <w:tcPr>
            <w:tcW w:w="1867" w:type="dxa"/>
            <w:tcBorders>
              <w:top w:val="single" w:sz="4" w:space="0" w:color="auto"/>
              <w:left w:val="nil"/>
              <w:bottom w:val="single" w:sz="4" w:space="0" w:color="auto"/>
              <w:right w:val="single" w:sz="4" w:space="0" w:color="auto"/>
            </w:tcBorders>
          </w:tcPr>
          <w:p w14:paraId="6E9FC800"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≤100%：4分；每增加5%的公用经费扣1分，扣完为止</w:t>
            </w:r>
          </w:p>
        </w:tc>
        <w:tc>
          <w:tcPr>
            <w:tcW w:w="621" w:type="dxa"/>
            <w:tcBorders>
              <w:top w:val="single" w:sz="4" w:space="0" w:color="auto"/>
              <w:left w:val="single" w:sz="4" w:space="0" w:color="auto"/>
              <w:bottom w:val="single" w:sz="4" w:space="0" w:color="auto"/>
              <w:right w:val="single" w:sz="4" w:space="0" w:color="auto"/>
            </w:tcBorders>
            <w:vAlign w:val="center"/>
          </w:tcPr>
          <w:p w14:paraId="02C89B05" w14:textId="77777777" w:rsidR="008D68C9" w:rsidRDefault="00000000">
            <w:pPr>
              <w:spacing w:line="240" w:lineRule="exact"/>
              <w:jc w:val="left"/>
              <w:rPr>
                <w:rFonts w:ascii="宋体" w:hAnsi="宋体" w:cs="宋体"/>
                <w:color w:val="000000"/>
                <w:kern w:val="0"/>
                <w:sz w:val="15"/>
                <w:szCs w:val="15"/>
              </w:rPr>
            </w:pPr>
            <w:r>
              <w:rPr>
                <w:rFonts w:ascii="宋体" w:hAnsi="宋体" w:cs="宋体" w:hint="eastAsia"/>
                <w:color w:val="000000"/>
                <w:kern w:val="0"/>
                <w:sz w:val="15"/>
                <w:szCs w:val="15"/>
              </w:rPr>
              <w:t>4</w:t>
            </w:r>
          </w:p>
        </w:tc>
      </w:tr>
      <w:tr w:rsidR="008D68C9" w14:paraId="37D49EF4" w14:textId="77777777">
        <w:trPr>
          <w:trHeight w:hRule="exact" w:val="1361"/>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BF514D1"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642C81D2" w14:textId="77777777" w:rsidR="008D68C9" w:rsidRDefault="008D68C9">
            <w:pPr>
              <w:widowControl/>
              <w:jc w:val="left"/>
              <w:rPr>
                <w:rFonts w:ascii="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14:paraId="1A7D44B6"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“三公经费”控制率</w:t>
            </w:r>
          </w:p>
        </w:tc>
        <w:tc>
          <w:tcPr>
            <w:tcW w:w="572" w:type="dxa"/>
            <w:gridSpan w:val="2"/>
            <w:tcBorders>
              <w:top w:val="nil"/>
              <w:left w:val="nil"/>
              <w:bottom w:val="single" w:sz="4" w:space="0" w:color="auto"/>
              <w:right w:val="single" w:sz="4" w:space="0" w:color="auto"/>
            </w:tcBorders>
            <w:vAlign w:val="center"/>
          </w:tcPr>
          <w:p w14:paraId="52C1B16A"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nil"/>
              <w:left w:val="nil"/>
              <w:bottom w:val="single" w:sz="4" w:space="0" w:color="auto"/>
              <w:right w:val="single" w:sz="4" w:space="0" w:color="auto"/>
            </w:tcBorders>
            <w:vAlign w:val="center"/>
          </w:tcPr>
          <w:p w14:paraId="6BC00B4B" w14:textId="77777777" w:rsidR="008D68C9" w:rsidRDefault="00000000">
            <w:pPr>
              <w:spacing w:line="240" w:lineRule="exact"/>
            </w:pPr>
            <w:r>
              <w:rPr>
                <w:rFonts w:ascii="宋体" w:hAnsi="宋体" w:cs="宋体" w:hint="eastAsia"/>
                <w:color w:val="000000"/>
                <w:kern w:val="0"/>
                <w:sz w:val="15"/>
                <w:szCs w:val="15"/>
              </w:rPr>
              <w:t>部门（单位）本年度“三公经费”实际支出数与预算安排数的比率，用以反映和考核对“三公经费”的实际控制程度。</w:t>
            </w:r>
          </w:p>
        </w:tc>
        <w:tc>
          <w:tcPr>
            <w:tcW w:w="2541" w:type="dxa"/>
            <w:tcBorders>
              <w:top w:val="nil"/>
              <w:left w:val="nil"/>
              <w:bottom w:val="single" w:sz="4" w:space="0" w:color="auto"/>
              <w:right w:val="single" w:sz="4" w:space="0" w:color="auto"/>
            </w:tcBorders>
          </w:tcPr>
          <w:p w14:paraId="417E29A4"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“三公经费”控制率=（“三公经费”实际支出数/“三公经费”预算安排数）×100%。</w:t>
            </w:r>
          </w:p>
        </w:tc>
        <w:tc>
          <w:tcPr>
            <w:tcW w:w="1867" w:type="dxa"/>
            <w:tcBorders>
              <w:top w:val="single" w:sz="4" w:space="0" w:color="auto"/>
              <w:left w:val="nil"/>
              <w:bottom w:val="single" w:sz="4" w:space="0" w:color="auto"/>
              <w:right w:val="single" w:sz="4" w:space="0" w:color="auto"/>
            </w:tcBorders>
          </w:tcPr>
          <w:p w14:paraId="201059EA"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≤100%：5分；每增加1%的“三公经费”扣1分，扣完为止</w:t>
            </w:r>
          </w:p>
        </w:tc>
        <w:tc>
          <w:tcPr>
            <w:tcW w:w="621" w:type="dxa"/>
            <w:tcBorders>
              <w:top w:val="nil"/>
              <w:left w:val="nil"/>
              <w:bottom w:val="single" w:sz="4" w:space="0" w:color="auto"/>
              <w:right w:val="single" w:sz="4" w:space="0" w:color="auto"/>
            </w:tcBorders>
            <w:vAlign w:val="center"/>
          </w:tcPr>
          <w:p w14:paraId="2E56179D"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5</w:t>
            </w:r>
          </w:p>
        </w:tc>
      </w:tr>
      <w:tr w:rsidR="008D68C9" w14:paraId="4B689EB0" w14:textId="77777777">
        <w:trPr>
          <w:trHeight w:val="82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2E2C3F7"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084C5F5" w14:textId="77777777" w:rsidR="008D68C9" w:rsidRDefault="008D68C9">
            <w:pPr>
              <w:widowControl/>
              <w:jc w:val="left"/>
              <w:rPr>
                <w:rFonts w:ascii="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14:paraId="00AAF8C9" w14:textId="77777777" w:rsidR="008D68C9" w:rsidRDefault="00000000">
            <w:pPr>
              <w:widowControl/>
              <w:spacing w:line="240" w:lineRule="exact"/>
              <w:jc w:val="center"/>
              <w:rPr>
                <w:rFonts w:ascii="宋体" w:hAnsi="宋体" w:cs="宋体"/>
                <w:color w:val="000000"/>
                <w:kern w:val="0"/>
                <w:sz w:val="15"/>
                <w:szCs w:val="15"/>
              </w:rPr>
            </w:pPr>
            <w:r>
              <w:rPr>
                <w:rFonts w:ascii="宋体" w:hAnsi="宋体" w:cs="宋体" w:hint="eastAsia"/>
                <w:color w:val="000000"/>
                <w:kern w:val="0"/>
                <w:sz w:val="15"/>
                <w:szCs w:val="15"/>
              </w:rPr>
              <w:t>政府采购执行率</w:t>
            </w:r>
          </w:p>
        </w:tc>
        <w:tc>
          <w:tcPr>
            <w:tcW w:w="572" w:type="dxa"/>
            <w:gridSpan w:val="2"/>
            <w:tcBorders>
              <w:top w:val="nil"/>
              <w:left w:val="nil"/>
              <w:bottom w:val="single" w:sz="4" w:space="0" w:color="auto"/>
              <w:right w:val="single" w:sz="4" w:space="0" w:color="auto"/>
            </w:tcBorders>
            <w:vAlign w:val="center"/>
          </w:tcPr>
          <w:p w14:paraId="3A16F403"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3</w:t>
            </w:r>
          </w:p>
        </w:tc>
        <w:tc>
          <w:tcPr>
            <w:tcW w:w="2112" w:type="dxa"/>
            <w:tcBorders>
              <w:top w:val="nil"/>
              <w:left w:val="nil"/>
              <w:bottom w:val="single" w:sz="4" w:space="0" w:color="000000"/>
              <w:right w:val="single" w:sz="4" w:space="0" w:color="auto"/>
            </w:tcBorders>
            <w:vAlign w:val="center"/>
          </w:tcPr>
          <w:p w14:paraId="1D9BF6E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部门（单位）本年度实际政府采购金额与年初政府采购预算的比率，用以反映和考核政府采购预算执行情况。</w:t>
            </w:r>
          </w:p>
        </w:tc>
        <w:tc>
          <w:tcPr>
            <w:tcW w:w="2541" w:type="dxa"/>
            <w:tcBorders>
              <w:top w:val="nil"/>
              <w:left w:val="nil"/>
              <w:bottom w:val="single" w:sz="4" w:space="0" w:color="000000"/>
              <w:right w:val="single" w:sz="4" w:space="0" w:color="auto"/>
            </w:tcBorders>
            <w:vAlign w:val="center"/>
          </w:tcPr>
          <w:p w14:paraId="035B1AE4"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政府采购执行率=（实际政府采购金额/政府采购预算数）×100%。政府采购预算：采购机关根据事业发展计划和行政任务编制的、并经过规定程序批准的年度政府采购计划。 </w:t>
            </w:r>
          </w:p>
        </w:tc>
        <w:tc>
          <w:tcPr>
            <w:tcW w:w="1867" w:type="dxa"/>
            <w:tcBorders>
              <w:top w:val="nil"/>
              <w:left w:val="nil"/>
              <w:bottom w:val="single" w:sz="4" w:space="0" w:color="auto"/>
              <w:right w:val="single" w:sz="4" w:space="0" w:color="auto"/>
            </w:tcBorders>
            <w:vAlign w:val="center"/>
          </w:tcPr>
          <w:p w14:paraId="592347B0"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90%-110%:3分；每超过（降低）10%的波动扣0.5分，扣完为止</w:t>
            </w:r>
          </w:p>
        </w:tc>
        <w:tc>
          <w:tcPr>
            <w:tcW w:w="621" w:type="dxa"/>
            <w:tcBorders>
              <w:top w:val="nil"/>
              <w:left w:val="nil"/>
              <w:bottom w:val="single" w:sz="4" w:space="0" w:color="auto"/>
              <w:right w:val="single" w:sz="4" w:space="0" w:color="auto"/>
            </w:tcBorders>
            <w:vAlign w:val="center"/>
          </w:tcPr>
          <w:p w14:paraId="398200E2"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2.5</w:t>
            </w:r>
          </w:p>
        </w:tc>
      </w:tr>
      <w:tr w:rsidR="008D68C9" w14:paraId="14B0549E" w14:textId="77777777">
        <w:trPr>
          <w:trHeight w:hRule="exact" w:val="1928"/>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79CB5CF" w14:textId="77777777" w:rsidR="008D68C9" w:rsidRDefault="008D68C9">
            <w:pPr>
              <w:widowControl/>
              <w:jc w:val="left"/>
              <w:rPr>
                <w:rFonts w:ascii="宋体" w:hAnsi="宋体" w:cs="宋体"/>
                <w:color w:val="000000"/>
                <w:kern w:val="0"/>
                <w:sz w:val="15"/>
                <w:szCs w:val="15"/>
              </w:rPr>
            </w:pPr>
          </w:p>
        </w:tc>
        <w:tc>
          <w:tcPr>
            <w:tcW w:w="671" w:type="dxa"/>
            <w:vMerge w:val="restart"/>
            <w:tcBorders>
              <w:top w:val="single" w:sz="4" w:space="0" w:color="auto"/>
              <w:left w:val="single" w:sz="4" w:space="0" w:color="auto"/>
              <w:bottom w:val="single" w:sz="4" w:space="0" w:color="auto"/>
              <w:right w:val="single" w:sz="4" w:space="0" w:color="auto"/>
            </w:tcBorders>
            <w:vAlign w:val="center"/>
          </w:tcPr>
          <w:p w14:paraId="21F780F2"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预算管理（18分）</w:t>
            </w:r>
          </w:p>
        </w:tc>
        <w:tc>
          <w:tcPr>
            <w:tcW w:w="707" w:type="dxa"/>
            <w:tcBorders>
              <w:top w:val="single" w:sz="4" w:space="0" w:color="auto"/>
              <w:left w:val="single" w:sz="4" w:space="0" w:color="auto"/>
              <w:bottom w:val="single" w:sz="4" w:space="0" w:color="auto"/>
              <w:right w:val="single" w:sz="4" w:space="0" w:color="auto"/>
            </w:tcBorders>
            <w:vAlign w:val="center"/>
          </w:tcPr>
          <w:p w14:paraId="2F1A86FA"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管理制度健全性</w:t>
            </w:r>
          </w:p>
        </w:tc>
        <w:tc>
          <w:tcPr>
            <w:tcW w:w="572" w:type="dxa"/>
            <w:gridSpan w:val="2"/>
            <w:tcBorders>
              <w:top w:val="single" w:sz="4" w:space="0" w:color="auto"/>
              <w:left w:val="single" w:sz="4" w:space="0" w:color="auto"/>
              <w:bottom w:val="single" w:sz="4" w:space="0" w:color="auto"/>
              <w:right w:val="single" w:sz="4" w:space="0" w:color="auto"/>
            </w:tcBorders>
            <w:vAlign w:val="center"/>
          </w:tcPr>
          <w:p w14:paraId="27B8EE1A"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single" w:sz="4" w:space="0" w:color="000000"/>
              <w:left w:val="single" w:sz="4" w:space="0" w:color="auto"/>
              <w:bottom w:val="single" w:sz="4" w:space="0" w:color="000000"/>
              <w:right w:val="single" w:sz="4" w:space="0" w:color="000000"/>
            </w:tcBorders>
          </w:tcPr>
          <w:p w14:paraId="7C9327A5"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部门（单位）为加强预算管理、规范财务行为而制定的管理制度是否健全完整，用以反映和考核预算管理制度对完成主要职责或促进事业发展的保障情况。</w:t>
            </w:r>
          </w:p>
        </w:tc>
        <w:tc>
          <w:tcPr>
            <w:tcW w:w="2541" w:type="dxa"/>
            <w:tcBorders>
              <w:top w:val="single" w:sz="4" w:space="0" w:color="000000"/>
              <w:left w:val="single" w:sz="4" w:space="0" w:color="auto"/>
              <w:bottom w:val="single" w:sz="4" w:space="0" w:color="000000"/>
              <w:right w:val="single" w:sz="4" w:space="0" w:color="000000"/>
            </w:tcBorders>
          </w:tcPr>
          <w:p w14:paraId="3464DABB" w14:textId="77777777" w:rsidR="008D68C9" w:rsidRDefault="00000000">
            <w:pPr>
              <w:spacing w:line="240" w:lineRule="exact"/>
            </w:pPr>
            <w:r>
              <w:rPr>
                <w:rFonts w:ascii="宋体" w:hAnsi="宋体" w:cs="宋体" w:hint="eastAsia"/>
                <w:color w:val="000000"/>
                <w:kern w:val="0"/>
                <w:sz w:val="15"/>
                <w:szCs w:val="15"/>
              </w:rPr>
              <w:t>评价要点：</w:t>
            </w:r>
            <w:r>
              <w:rPr>
                <w:rFonts w:ascii="宋体" w:hAnsi="宋体" w:cs="宋体" w:hint="eastAsia"/>
                <w:color w:val="000000"/>
                <w:kern w:val="0"/>
                <w:sz w:val="15"/>
                <w:szCs w:val="15"/>
              </w:rPr>
              <w:br/>
              <w:t>①是否已制定或具有预算资金管理办法、内部财务管理制度、会计核算制度</w:t>
            </w:r>
            <w:proofErr w:type="gramStart"/>
            <w:r>
              <w:rPr>
                <w:rFonts w:ascii="宋体" w:hAnsi="宋体" w:cs="宋体" w:hint="eastAsia"/>
                <w:color w:val="000000"/>
                <w:kern w:val="0"/>
                <w:sz w:val="15"/>
                <w:szCs w:val="15"/>
              </w:rPr>
              <w:t>制度</w:t>
            </w:r>
            <w:proofErr w:type="gramEnd"/>
            <w:r>
              <w:rPr>
                <w:rFonts w:ascii="宋体" w:hAnsi="宋体" w:cs="宋体" w:hint="eastAsia"/>
                <w:color w:val="000000"/>
                <w:kern w:val="0"/>
                <w:sz w:val="15"/>
                <w:szCs w:val="15"/>
              </w:rPr>
              <w:t>、资产管理制度、公务用车管理制度等管理制度；</w:t>
            </w:r>
            <w:r>
              <w:rPr>
                <w:rFonts w:ascii="宋体" w:hAnsi="宋体" w:cs="宋体" w:hint="eastAsia"/>
                <w:color w:val="000000"/>
                <w:kern w:val="0"/>
                <w:sz w:val="15"/>
                <w:szCs w:val="15"/>
              </w:rPr>
              <w:br/>
              <w:t>②相关管理制度是否合法、合</w:t>
            </w:r>
            <w:proofErr w:type="gramStart"/>
            <w:r>
              <w:rPr>
                <w:rFonts w:ascii="宋体" w:hAnsi="宋体" w:cs="宋体" w:hint="eastAsia"/>
                <w:color w:val="000000"/>
                <w:kern w:val="0"/>
                <w:sz w:val="15"/>
                <w:szCs w:val="15"/>
              </w:rPr>
              <w:t>规</w:t>
            </w:r>
            <w:proofErr w:type="gramEnd"/>
            <w:r>
              <w:rPr>
                <w:rFonts w:ascii="宋体" w:hAnsi="宋体" w:cs="宋体" w:hint="eastAsia"/>
                <w:color w:val="000000"/>
                <w:kern w:val="0"/>
                <w:sz w:val="15"/>
                <w:szCs w:val="15"/>
              </w:rPr>
              <w:t>、完整；</w:t>
            </w:r>
            <w:r>
              <w:rPr>
                <w:rFonts w:ascii="宋体" w:hAnsi="宋体" w:cs="宋体" w:hint="eastAsia"/>
                <w:color w:val="000000"/>
                <w:kern w:val="0"/>
                <w:sz w:val="15"/>
                <w:szCs w:val="15"/>
              </w:rPr>
              <w:br/>
              <w:t>③相关管理制度是否得到有效执行。</w:t>
            </w:r>
          </w:p>
          <w:p w14:paraId="1C280018" w14:textId="77777777" w:rsidR="008D68C9" w:rsidRDefault="008D68C9">
            <w:pPr>
              <w:widowControl/>
              <w:jc w:val="left"/>
              <w:rPr>
                <w:rFonts w:ascii="宋体" w:hAnsi="宋体" w:cs="宋体"/>
                <w:color w:val="000000"/>
                <w:kern w:val="0"/>
                <w:sz w:val="15"/>
                <w:szCs w:val="15"/>
              </w:rPr>
            </w:pPr>
          </w:p>
        </w:tc>
        <w:tc>
          <w:tcPr>
            <w:tcW w:w="1867" w:type="dxa"/>
            <w:tcBorders>
              <w:top w:val="single" w:sz="4" w:space="0" w:color="auto"/>
              <w:left w:val="single" w:sz="4" w:space="0" w:color="000000"/>
              <w:bottom w:val="single" w:sz="4" w:space="0" w:color="auto"/>
              <w:right w:val="single" w:sz="4" w:space="0" w:color="auto"/>
            </w:tcBorders>
          </w:tcPr>
          <w:p w14:paraId="4598491F"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健全：5分；比较健全：3分；不健全：0分</w:t>
            </w:r>
          </w:p>
        </w:tc>
        <w:tc>
          <w:tcPr>
            <w:tcW w:w="621" w:type="dxa"/>
            <w:tcBorders>
              <w:top w:val="single" w:sz="4" w:space="0" w:color="auto"/>
              <w:left w:val="single" w:sz="4" w:space="0" w:color="auto"/>
              <w:bottom w:val="single" w:sz="4" w:space="0" w:color="auto"/>
              <w:right w:val="single" w:sz="4" w:space="0" w:color="auto"/>
            </w:tcBorders>
            <w:vAlign w:val="center"/>
          </w:tcPr>
          <w:p w14:paraId="7E3A112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5</w:t>
            </w:r>
          </w:p>
        </w:tc>
      </w:tr>
      <w:tr w:rsidR="008D68C9" w14:paraId="3BAB3E78" w14:textId="77777777">
        <w:trPr>
          <w:trHeight w:hRule="exact" w:val="2608"/>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BAAF043"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7D02363" w14:textId="77777777" w:rsidR="008D68C9" w:rsidRDefault="008D68C9">
            <w:pPr>
              <w:widowControl/>
              <w:jc w:val="left"/>
              <w:rPr>
                <w:rFonts w:ascii="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14:paraId="06EA8022"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资金使用合</w:t>
            </w:r>
            <w:proofErr w:type="gramStart"/>
            <w:r>
              <w:rPr>
                <w:rFonts w:ascii="宋体" w:hAnsi="宋体" w:cs="宋体" w:hint="eastAsia"/>
                <w:color w:val="000000"/>
                <w:kern w:val="0"/>
                <w:sz w:val="15"/>
                <w:szCs w:val="15"/>
              </w:rPr>
              <w:t>规</w:t>
            </w:r>
            <w:proofErr w:type="gramEnd"/>
            <w:r>
              <w:rPr>
                <w:rFonts w:ascii="宋体" w:hAnsi="宋体" w:cs="宋体" w:hint="eastAsia"/>
                <w:color w:val="000000"/>
                <w:kern w:val="0"/>
                <w:sz w:val="15"/>
                <w:szCs w:val="15"/>
              </w:rPr>
              <w:t>性</w:t>
            </w:r>
          </w:p>
        </w:tc>
        <w:tc>
          <w:tcPr>
            <w:tcW w:w="572" w:type="dxa"/>
            <w:gridSpan w:val="2"/>
            <w:tcBorders>
              <w:top w:val="nil"/>
              <w:left w:val="single" w:sz="4" w:space="0" w:color="auto"/>
              <w:bottom w:val="single" w:sz="4" w:space="0" w:color="auto"/>
              <w:right w:val="single" w:sz="4" w:space="0" w:color="auto"/>
            </w:tcBorders>
            <w:vAlign w:val="center"/>
          </w:tcPr>
          <w:p w14:paraId="6D4252DE"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nil"/>
              <w:left w:val="single" w:sz="4" w:space="0" w:color="auto"/>
              <w:bottom w:val="single" w:sz="4" w:space="0" w:color="auto"/>
              <w:right w:val="single" w:sz="4" w:space="0" w:color="auto"/>
            </w:tcBorders>
            <w:vAlign w:val="center"/>
          </w:tcPr>
          <w:p w14:paraId="24720988"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部门（单位）使用预算资金是否符合相关的预算财务管理制度的规定，用以反映和考核预算资金的规范运行情况。</w:t>
            </w:r>
          </w:p>
        </w:tc>
        <w:tc>
          <w:tcPr>
            <w:tcW w:w="2541" w:type="dxa"/>
            <w:tcBorders>
              <w:top w:val="nil"/>
              <w:left w:val="single" w:sz="4" w:space="0" w:color="auto"/>
              <w:bottom w:val="single" w:sz="4" w:space="0" w:color="auto"/>
              <w:right w:val="single" w:sz="4" w:space="0" w:color="auto"/>
            </w:tcBorders>
          </w:tcPr>
          <w:p w14:paraId="45E47C0D" w14:textId="77777777" w:rsidR="008D68C9" w:rsidRDefault="00000000">
            <w:pPr>
              <w:spacing w:line="240" w:lineRule="exact"/>
            </w:pPr>
            <w:r>
              <w:rPr>
                <w:rFonts w:ascii="宋体" w:hAnsi="宋体" w:cs="宋体" w:hint="eastAsia"/>
                <w:color w:val="000000"/>
                <w:kern w:val="0"/>
                <w:sz w:val="15"/>
                <w:szCs w:val="15"/>
              </w:rPr>
              <w:t>评价要点：</w:t>
            </w:r>
            <w:r>
              <w:rPr>
                <w:rFonts w:ascii="宋体" w:hAnsi="宋体" w:cs="宋体" w:hint="eastAsia"/>
                <w:color w:val="000000"/>
                <w:kern w:val="0"/>
                <w:sz w:val="15"/>
                <w:szCs w:val="15"/>
              </w:rPr>
              <w:br/>
              <w:t>①是否符合国家财经法规和财务管理制度规定以及有关专项资金管理办法的规定；</w:t>
            </w:r>
            <w:r>
              <w:rPr>
                <w:rFonts w:ascii="宋体" w:hAnsi="宋体" w:cs="宋体" w:hint="eastAsia"/>
                <w:color w:val="000000"/>
                <w:kern w:val="0"/>
                <w:sz w:val="15"/>
                <w:szCs w:val="15"/>
              </w:rPr>
              <w:br/>
              <w:t>②资金的拨付是否有完整的审批程序和手续；</w:t>
            </w:r>
            <w:r>
              <w:rPr>
                <w:rFonts w:ascii="宋体" w:hAnsi="宋体" w:cs="宋体" w:hint="eastAsia"/>
                <w:color w:val="000000"/>
                <w:kern w:val="0"/>
                <w:sz w:val="15"/>
                <w:szCs w:val="15"/>
              </w:rPr>
              <w:br/>
              <w:t>③项目的重大开支是否经过评估论证；</w:t>
            </w:r>
            <w:r>
              <w:rPr>
                <w:rFonts w:ascii="宋体" w:hAnsi="宋体" w:cs="宋体" w:hint="eastAsia"/>
                <w:color w:val="000000"/>
                <w:kern w:val="0"/>
                <w:sz w:val="15"/>
                <w:szCs w:val="15"/>
              </w:rPr>
              <w:br/>
              <w:t>④是否符合部门预算批复的用途；</w:t>
            </w:r>
            <w:r>
              <w:rPr>
                <w:rFonts w:ascii="宋体" w:hAnsi="宋体" w:cs="宋体" w:hint="eastAsia"/>
                <w:color w:val="000000"/>
                <w:kern w:val="0"/>
                <w:sz w:val="15"/>
                <w:szCs w:val="15"/>
              </w:rPr>
              <w:br/>
              <w:t>⑤是否存在截留、挤占、挪用、虚列支出等情况。</w:t>
            </w:r>
          </w:p>
          <w:p w14:paraId="6977C9CC" w14:textId="77777777" w:rsidR="008D68C9" w:rsidRDefault="008D68C9">
            <w:pPr>
              <w:widowControl/>
              <w:jc w:val="left"/>
              <w:rPr>
                <w:rFonts w:ascii="宋体" w:hAnsi="宋体" w:cs="宋体"/>
                <w:color w:val="000000"/>
                <w:kern w:val="0"/>
                <w:sz w:val="15"/>
                <w:szCs w:val="15"/>
              </w:rPr>
            </w:pPr>
          </w:p>
        </w:tc>
        <w:tc>
          <w:tcPr>
            <w:tcW w:w="1867" w:type="dxa"/>
            <w:tcBorders>
              <w:top w:val="nil"/>
              <w:left w:val="single" w:sz="4" w:space="0" w:color="auto"/>
              <w:bottom w:val="single" w:sz="4" w:space="0" w:color="auto"/>
              <w:right w:val="single" w:sz="4" w:space="0" w:color="auto"/>
            </w:tcBorders>
            <w:vAlign w:val="center"/>
          </w:tcPr>
          <w:p w14:paraId="33859776"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完全合</w:t>
            </w:r>
            <w:proofErr w:type="gramStart"/>
            <w:r>
              <w:rPr>
                <w:rFonts w:ascii="宋体" w:hAnsi="宋体" w:cs="宋体" w:hint="eastAsia"/>
                <w:color w:val="000000"/>
                <w:kern w:val="0"/>
                <w:sz w:val="15"/>
                <w:szCs w:val="15"/>
              </w:rPr>
              <w:t>规</w:t>
            </w:r>
            <w:proofErr w:type="gramEnd"/>
            <w:r>
              <w:rPr>
                <w:rFonts w:ascii="宋体" w:hAnsi="宋体" w:cs="宋体" w:hint="eastAsia"/>
                <w:color w:val="000000"/>
                <w:kern w:val="0"/>
                <w:sz w:val="15"/>
                <w:szCs w:val="15"/>
              </w:rPr>
              <w:t>：5分；其它按照以上5个要点，有1点未达到扣1分，扣完为止</w:t>
            </w:r>
          </w:p>
        </w:tc>
        <w:tc>
          <w:tcPr>
            <w:tcW w:w="621" w:type="dxa"/>
            <w:tcBorders>
              <w:top w:val="nil"/>
              <w:left w:val="single" w:sz="4" w:space="0" w:color="auto"/>
              <w:bottom w:val="single" w:sz="4" w:space="0" w:color="auto"/>
              <w:right w:val="single" w:sz="4" w:space="0" w:color="auto"/>
            </w:tcBorders>
            <w:vAlign w:val="center"/>
          </w:tcPr>
          <w:p w14:paraId="2710697A"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5</w:t>
            </w:r>
          </w:p>
        </w:tc>
      </w:tr>
      <w:tr w:rsidR="008D68C9" w14:paraId="51EAC48C" w14:textId="77777777">
        <w:trPr>
          <w:trHeight w:hRule="exact" w:val="2157"/>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3885092"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F87B5C0" w14:textId="77777777" w:rsidR="008D68C9" w:rsidRDefault="008D68C9">
            <w:pPr>
              <w:widowControl/>
              <w:jc w:val="left"/>
              <w:rPr>
                <w:rFonts w:ascii="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14:paraId="64544FE1"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预决算信息公开及完整性</w:t>
            </w:r>
          </w:p>
        </w:tc>
        <w:tc>
          <w:tcPr>
            <w:tcW w:w="572" w:type="dxa"/>
            <w:gridSpan w:val="2"/>
            <w:tcBorders>
              <w:top w:val="single" w:sz="4" w:space="0" w:color="auto"/>
              <w:left w:val="nil"/>
              <w:bottom w:val="single" w:sz="4" w:space="0" w:color="auto"/>
              <w:right w:val="single" w:sz="4" w:space="0" w:color="auto"/>
            </w:tcBorders>
            <w:vAlign w:val="center"/>
          </w:tcPr>
          <w:p w14:paraId="11894F5F"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single" w:sz="4" w:space="0" w:color="auto"/>
              <w:left w:val="nil"/>
              <w:bottom w:val="single" w:sz="4" w:space="0" w:color="auto"/>
              <w:right w:val="single" w:sz="4" w:space="0" w:color="auto"/>
            </w:tcBorders>
            <w:vAlign w:val="center"/>
          </w:tcPr>
          <w:p w14:paraId="5BB6A0D0"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部门（单位）是否按照政府信息公开有关规定公开相关预决算信息，基础信息是否完善，用以反映和考核预决算管理的公开透明情况。</w:t>
            </w:r>
          </w:p>
        </w:tc>
        <w:tc>
          <w:tcPr>
            <w:tcW w:w="2541" w:type="dxa"/>
            <w:tcBorders>
              <w:top w:val="single" w:sz="4" w:space="0" w:color="auto"/>
              <w:left w:val="nil"/>
              <w:bottom w:val="single" w:sz="4" w:space="0" w:color="auto"/>
              <w:right w:val="single" w:sz="4" w:space="0" w:color="auto"/>
            </w:tcBorders>
            <w:vAlign w:val="center"/>
          </w:tcPr>
          <w:p w14:paraId="08443956" w14:textId="77777777" w:rsidR="008D68C9" w:rsidRDefault="00000000">
            <w:pPr>
              <w:spacing w:line="240" w:lineRule="exact"/>
            </w:pPr>
            <w:r>
              <w:rPr>
                <w:rFonts w:ascii="宋体" w:hAnsi="宋体" w:cs="宋体" w:hint="eastAsia"/>
                <w:color w:val="000000"/>
                <w:kern w:val="0"/>
                <w:sz w:val="15"/>
                <w:szCs w:val="15"/>
              </w:rPr>
              <w:t>评价要点：</w:t>
            </w:r>
            <w:r>
              <w:rPr>
                <w:rFonts w:ascii="宋体" w:hAnsi="宋体" w:cs="宋体" w:hint="eastAsia"/>
                <w:color w:val="000000"/>
                <w:kern w:val="0"/>
                <w:sz w:val="15"/>
                <w:szCs w:val="15"/>
              </w:rPr>
              <w:br/>
              <w:t>①是否按规定内容公开预决算信息；</w:t>
            </w:r>
            <w:r>
              <w:rPr>
                <w:rFonts w:ascii="宋体" w:hAnsi="宋体" w:cs="宋体" w:hint="eastAsia"/>
                <w:color w:val="000000"/>
                <w:kern w:val="0"/>
                <w:sz w:val="15"/>
                <w:szCs w:val="15"/>
              </w:rPr>
              <w:br/>
              <w:t>②是否按规定时限公开预决算信息。 ③基础数据信息和会计信息资料是否真实；</w:t>
            </w:r>
            <w:r>
              <w:rPr>
                <w:rFonts w:ascii="宋体" w:hAnsi="宋体" w:cs="宋体" w:hint="eastAsia"/>
                <w:color w:val="000000"/>
                <w:kern w:val="0"/>
                <w:sz w:val="15"/>
                <w:szCs w:val="15"/>
              </w:rPr>
              <w:br/>
              <w:t>④基础数据信息和会计信息资料是否完整；</w:t>
            </w:r>
            <w:r>
              <w:rPr>
                <w:rFonts w:ascii="宋体" w:hAnsi="宋体" w:cs="宋体" w:hint="eastAsia"/>
                <w:color w:val="000000"/>
                <w:kern w:val="0"/>
                <w:sz w:val="15"/>
                <w:szCs w:val="15"/>
              </w:rPr>
              <w:br/>
              <w:t>⑤基础数据信息和会计信息资料是否准确。</w:t>
            </w:r>
          </w:p>
        </w:tc>
        <w:tc>
          <w:tcPr>
            <w:tcW w:w="1867" w:type="dxa"/>
            <w:tcBorders>
              <w:top w:val="single" w:sz="4" w:space="0" w:color="auto"/>
              <w:left w:val="nil"/>
              <w:bottom w:val="single" w:sz="4" w:space="0" w:color="auto"/>
              <w:right w:val="single" w:sz="4" w:space="0" w:color="auto"/>
            </w:tcBorders>
            <w:vAlign w:val="center"/>
          </w:tcPr>
          <w:p w14:paraId="3C584FB1"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5个要点实现</w:t>
            </w:r>
            <w:proofErr w:type="gramStart"/>
            <w:r>
              <w:rPr>
                <w:rFonts w:ascii="宋体" w:hAnsi="宋体" w:cs="宋体" w:hint="eastAsia"/>
                <w:color w:val="000000"/>
                <w:kern w:val="0"/>
                <w:sz w:val="15"/>
                <w:szCs w:val="15"/>
              </w:rPr>
              <w:t>每实现</w:t>
            </w:r>
            <w:proofErr w:type="gramEnd"/>
            <w:r>
              <w:rPr>
                <w:rFonts w:ascii="宋体" w:hAnsi="宋体" w:cs="宋体" w:hint="eastAsia"/>
                <w:color w:val="000000"/>
                <w:kern w:val="0"/>
                <w:sz w:val="15"/>
                <w:szCs w:val="15"/>
              </w:rPr>
              <w:t>1个得1分</w:t>
            </w:r>
          </w:p>
        </w:tc>
        <w:tc>
          <w:tcPr>
            <w:tcW w:w="621" w:type="dxa"/>
            <w:tcBorders>
              <w:top w:val="single" w:sz="4" w:space="0" w:color="auto"/>
              <w:left w:val="nil"/>
              <w:bottom w:val="single" w:sz="4" w:space="0" w:color="auto"/>
              <w:right w:val="single" w:sz="4" w:space="0" w:color="auto"/>
            </w:tcBorders>
            <w:vAlign w:val="center"/>
          </w:tcPr>
          <w:p w14:paraId="22F5FCAA"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5</w:t>
            </w:r>
          </w:p>
        </w:tc>
      </w:tr>
      <w:tr w:rsidR="008D68C9" w14:paraId="70F002C2" w14:textId="77777777">
        <w:trPr>
          <w:trHeight w:hRule="exact" w:val="1287"/>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68310F1"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5D2DBE79" w14:textId="77777777" w:rsidR="008D68C9" w:rsidRDefault="008D68C9">
            <w:pPr>
              <w:widowControl/>
              <w:jc w:val="left"/>
              <w:rPr>
                <w:rFonts w:ascii="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14:paraId="3EF10864" w14:textId="77777777" w:rsidR="008D68C9" w:rsidRDefault="00000000">
            <w:pPr>
              <w:widowControl/>
              <w:spacing w:line="200" w:lineRule="exact"/>
              <w:jc w:val="center"/>
              <w:rPr>
                <w:rFonts w:ascii="宋体" w:hAnsi="宋体" w:cs="宋体"/>
                <w:kern w:val="0"/>
                <w:sz w:val="15"/>
                <w:szCs w:val="15"/>
              </w:rPr>
            </w:pPr>
            <w:r>
              <w:rPr>
                <w:rFonts w:ascii="宋体" w:hAnsi="宋体" w:cs="宋体" w:hint="eastAsia"/>
                <w:kern w:val="0"/>
                <w:sz w:val="15"/>
                <w:szCs w:val="15"/>
              </w:rPr>
              <w:t>资产管理安全性</w:t>
            </w:r>
          </w:p>
        </w:tc>
        <w:tc>
          <w:tcPr>
            <w:tcW w:w="572" w:type="dxa"/>
            <w:gridSpan w:val="2"/>
            <w:tcBorders>
              <w:top w:val="single" w:sz="4" w:space="0" w:color="auto"/>
              <w:left w:val="single" w:sz="4" w:space="0" w:color="auto"/>
              <w:bottom w:val="single" w:sz="4" w:space="0" w:color="auto"/>
              <w:right w:val="single" w:sz="4" w:space="0" w:color="auto"/>
            </w:tcBorders>
            <w:vAlign w:val="center"/>
          </w:tcPr>
          <w:p w14:paraId="3FDBB567" w14:textId="77777777" w:rsidR="008D68C9" w:rsidRDefault="00000000">
            <w:pPr>
              <w:widowControl/>
              <w:spacing w:line="200" w:lineRule="exact"/>
              <w:ind w:firstLineChars="50" w:firstLine="75"/>
              <w:rPr>
                <w:rFonts w:ascii="宋体" w:hAnsi="宋体" w:cs="宋体"/>
                <w:color w:val="000000"/>
                <w:kern w:val="0"/>
                <w:sz w:val="15"/>
                <w:szCs w:val="15"/>
              </w:rPr>
            </w:pPr>
            <w:r>
              <w:rPr>
                <w:rFonts w:ascii="宋体" w:hAnsi="宋体" w:cs="宋体" w:hint="eastAsia"/>
                <w:color w:val="000000"/>
                <w:kern w:val="0"/>
                <w:sz w:val="15"/>
                <w:szCs w:val="15"/>
              </w:rPr>
              <w:t>3</w:t>
            </w:r>
          </w:p>
        </w:tc>
        <w:tc>
          <w:tcPr>
            <w:tcW w:w="2112" w:type="dxa"/>
            <w:tcBorders>
              <w:top w:val="single" w:sz="4" w:space="0" w:color="auto"/>
              <w:left w:val="nil"/>
              <w:bottom w:val="single" w:sz="4" w:space="0" w:color="auto"/>
              <w:right w:val="single" w:sz="4" w:space="0" w:color="auto"/>
            </w:tcBorders>
            <w:vAlign w:val="center"/>
          </w:tcPr>
          <w:p w14:paraId="6ACAF86C" w14:textId="77777777" w:rsidR="008D68C9" w:rsidRDefault="00000000">
            <w:pPr>
              <w:spacing w:line="240" w:lineRule="exact"/>
            </w:pPr>
            <w:r>
              <w:rPr>
                <w:rFonts w:ascii="宋体" w:hAnsi="宋体" w:cs="宋体" w:hint="eastAsia"/>
                <w:color w:val="000000"/>
                <w:kern w:val="0"/>
                <w:sz w:val="15"/>
                <w:szCs w:val="15"/>
              </w:rPr>
              <w:t>部门（单位）的资产是否保存完整、使用合</w:t>
            </w:r>
            <w:proofErr w:type="gramStart"/>
            <w:r>
              <w:rPr>
                <w:rFonts w:ascii="宋体" w:hAnsi="宋体" w:cs="宋体" w:hint="eastAsia"/>
                <w:color w:val="000000"/>
                <w:kern w:val="0"/>
                <w:sz w:val="15"/>
                <w:szCs w:val="15"/>
              </w:rPr>
              <w:t>规</w:t>
            </w:r>
            <w:proofErr w:type="gramEnd"/>
            <w:r>
              <w:rPr>
                <w:rFonts w:ascii="宋体" w:hAnsi="宋体" w:cs="宋体" w:hint="eastAsia"/>
                <w:color w:val="000000"/>
                <w:kern w:val="0"/>
                <w:sz w:val="15"/>
                <w:szCs w:val="15"/>
              </w:rPr>
              <w:t>、配置合理、处置规范、收入及时足额上缴，用以反映和考核资产安全运行情况。</w:t>
            </w:r>
          </w:p>
        </w:tc>
        <w:tc>
          <w:tcPr>
            <w:tcW w:w="2541" w:type="dxa"/>
            <w:tcBorders>
              <w:top w:val="single" w:sz="4" w:space="0" w:color="auto"/>
              <w:left w:val="nil"/>
              <w:bottom w:val="single" w:sz="4" w:space="0" w:color="auto"/>
              <w:right w:val="single" w:sz="4" w:space="0" w:color="auto"/>
            </w:tcBorders>
            <w:vAlign w:val="center"/>
          </w:tcPr>
          <w:p w14:paraId="07A9366F"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评价要点：</w:t>
            </w:r>
            <w:r>
              <w:rPr>
                <w:rFonts w:ascii="宋体" w:hAnsi="宋体" w:cs="宋体" w:hint="eastAsia"/>
                <w:color w:val="000000"/>
                <w:kern w:val="0"/>
                <w:sz w:val="15"/>
                <w:szCs w:val="15"/>
              </w:rPr>
              <w:br/>
              <w:t>①资产保存是否完整；</w:t>
            </w:r>
            <w:r>
              <w:rPr>
                <w:rFonts w:ascii="宋体" w:hAnsi="宋体" w:cs="宋体" w:hint="eastAsia"/>
                <w:color w:val="000000"/>
                <w:kern w:val="0"/>
                <w:sz w:val="15"/>
                <w:szCs w:val="15"/>
              </w:rPr>
              <w:br/>
              <w:t>②资产配置是否合理；</w:t>
            </w:r>
            <w:r>
              <w:rPr>
                <w:rFonts w:ascii="宋体" w:hAnsi="宋体" w:cs="宋体" w:hint="eastAsia"/>
                <w:color w:val="000000"/>
                <w:kern w:val="0"/>
                <w:sz w:val="15"/>
                <w:szCs w:val="15"/>
              </w:rPr>
              <w:br/>
              <w:t>③资产处置是否规范；</w:t>
            </w:r>
            <w:r>
              <w:rPr>
                <w:rFonts w:ascii="宋体" w:hAnsi="宋体" w:cs="宋体" w:hint="eastAsia"/>
                <w:color w:val="000000"/>
                <w:kern w:val="0"/>
                <w:sz w:val="15"/>
                <w:szCs w:val="15"/>
              </w:rPr>
              <w:br/>
              <w:t>④资产账务管理是否合</w:t>
            </w:r>
            <w:proofErr w:type="gramStart"/>
            <w:r>
              <w:rPr>
                <w:rFonts w:ascii="宋体" w:hAnsi="宋体" w:cs="宋体" w:hint="eastAsia"/>
                <w:color w:val="000000"/>
                <w:kern w:val="0"/>
                <w:sz w:val="15"/>
                <w:szCs w:val="15"/>
              </w:rPr>
              <w:t>规</w:t>
            </w:r>
            <w:proofErr w:type="gramEnd"/>
            <w:r>
              <w:rPr>
                <w:rFonts w:ascii="宋体" w:hAnsi="宋体" w:cs="宋体" w:hint="eastAsia"/>
                <w:color w:val="000000"/>
                <w:kern w:val="0"/>
                <w:sz w:val="15"/>
                <w:szCs w:val="15"/>
              </w:rPr>
              <w:t>，是否帐实相符；</w:t>
            </w:r>
            <w:r>
              <w:rPr>
                <w:rFonts w:ascii="宋体" w:hAnsi="宋体" w:cs="宋体" w:hint="eastAsia"/>
                <w:color w:val="000000"/>
                <w:kern w:val="0"/>
                <w:sz w:val="15"/>
                <w:szCs w:val="15"/>
              </w:rPr>
              <w:br/>
              <w:t>⑤资产是否有偿使用及处置收入及时足额上缴。</w:t>
            </w:r>
          </w:p>
        </w:tc>
        <w:tc>
          <w:tcPr>
            <w:tcW w:w="1867" w:type="dxa"/>
            <w:tcBorders>
              <w:top w:val="single" w:sz="4" w:space="0" w:color="auto"/>
              <w:left w:val="single" w:sz="4" w:space="0" w:color="auto"/>
              <w:bottom w:val="single" w:sz="4" w:space="0" w:color="auto"/>
              <w:right w:val="single" w:sz="4" w:space="0" w:color="auto"/>
            </w:tcBorders>
            <w:vAlign w:val="center"/>
          </w:tcPr>
          <w:p w14:paraId="0199E2B8"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5个要点均实现：3分；有1点未达到扣1分，扣完为止</w:t>
            </w:r>
          </w:p>
        </w:tc>
        <w:tc>
          <w:tcPr>
            <w:tcW w:w="621" w:type="dxa"/>
            <w:tcBorders>
              <w:top w:val="single" w:sz="4" w:space="0" w:color="auto"/>
              <w:left w:val="single" w:sz="4" w:space="0" w:color="auto"/>
              <w:bottom w:val="single" w:sz="4" w:space="0" w:color="auto"/>
              <w:right w:val="single" w:sz="4" w:space="0" w:color="auto"/>
            </w:tcBorders>
            <w:vAlign w:val="center"/>
          </w:tcPr>
          <w:p w14:paraId="079B6EA2"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2</w:t>
            </w:r>
          </w:p>
        </w:tc>
      </w:tr>
      <w:tr w:rsidR="008D68C9" w14:paraId="25DDAEAD" w14:textId="77777777">
        <w:trPr>
          <w:trHeight w:hRule="exact" w:val="1928"/>
          <w:jc w:val="center"/>
        </w:trPr>
        <w:tc>
          <w:tcPr>
            <w:tcW w:w="775" w:type="dxa"/>
            <w:vMerge w:val="restart"/>
            <w:tcBorders>
              <w:top w:val="single" w:sz="4" w:space="0" w:color="auto"/>
              <w:left w:val="single" w:sz="4" w:space="0" w:color="auto"/>
              <w:bottom w:val="single" w:sz="4" w:space="0" w:color="auto"/>
              <w:right w:val="single" w:sz="4" w:space="0" w:color="auto"/>
            </w:tcBorders>
            <w:vAlign w:val="center"/>
          </w:tcPr>
          <w:p w14:paraId="42A6C3E0" w14:textId="77777777" w:rsidR="008D68C9" w:rsidRDefault="00000000">
            <w:pPr>
              <w:jc w:val="center"/>
              <w:rPr>
                <w:rFonts w:ascii="宋体" w:hAnsi="宋体" w:cs="宋体"/>
                <w:color w:val="000000"/>
                <w:kern w:val="0"/>
                <w:sz w:val="15"/>
                <w:szCs w:val="15"/>
              </w:rPr>
            </w:pPr>
            <w:r>
              <w:rPr>
                <w:rFonts w:ascii="宋体" w:hAnsi="宋体" w:cs="宋体" w:hint="eastAsia"/>
                <w:color w:val="000000"/>
                <w:kern w:val="0"/>
                <w:sz w:val="15"/>
                <w:szCs w:val="15"/>
              </w:rPr>
              <w:t>产出及效率（40分）</w:t>
            </w:r>
          </w:p>
        </w:tc>
        <w:tc>
          <w:tcPr>
            <w:tcW w:w="671" w:type="dxa"/>
            <w:vMerge w:val="restart"/>
            <w:tcBorders>
              <w:top w:val="single" w:sz="4" w:space="0" w:color="auto"/>
              <w:left w:val="nil"/>
              <w:bottom w:val="nil"/>
              <w:right w:val="nil"/>
            </w:tcBorders>
            <w:vAlign w:val="center"/>
          </w:tcPr>
          <w:p w14:paraId="12B5401E" w14:textId="77777777" w:rsidR="008D68C9" w:rsidRDefault="00000000">
            <w:pPr>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职责履行（10分）</w:t>
            </w:r>
          </w:p>
        </w:tc>
        <w:tc>
          <w:tcPr>
            <w:tcW w:w="707" w:type="dxa"/>
            <w:tcBorders>
              <w:top w:val="single" w:sz="4" w:space="0" w:color="auto"/>
              <w:left w:val="single" w:sz="4" w:space="0" w:color="auto"/>
              <w:bottom w:val="single" w:sz="4" w:space="0" w:color="auto"/>
              <w:right w:val="single" w:sz="4" w:space="0" w:color="auto"/>
            </w:tcBorders>
            <w:vAlign w:val="center"/>
          </w:tcPr>
          <w:p w14:paraId="4E698D46" w14:textId="77777777" w:rsidR="008D68C9" w:rsidRDefault="00000000">
            <w:pPr>
              <w:widowControl/>
              <w:spacing w:line="200" w:lineRule="exact"/>
              <w:jc w:val="center"/>
              <w:rPr>
                <w:rFonts w:ascii="宋体" w:hAnsi="宋体" w:cs="宋体"/>
                <w:kern w:val="0"/>
                <w:sz w:val="15"/>
                <w:szCs w:val="15"/>
              </w:rPr>
            </w:pPr>
            <w:r>
              <w:rPr>
                <w:rFonts w:ascii="宋体" w:hAnsi="宋体" w:cs="宋体" w:hint="eastAsia"/>
                <w:kern w:val="0"/>
                <w:sz w:val="15"/>
                <w:szCs w:val="15"/>
              </w:rPr>
              <w:t>工作实际完成率</w:t>
            </w:r>
          </w:p>
        </w:tc>
        <w:tc>
          <w:tcPr>
            <w:tcW w:w="572" w:type="dxa"/>
            <w:gridSpan w:val="2"/>
            <w:tcBorders>
              <w:top w:val="single" w:sz="4" w:space="0" w:color="auto"/>
              <w:left w:val="single" w:sz="4" w:space="0" w:color="auto"/>
              <w:bottom w:val="single" w:sz="4" w:space="0" w:color="auto"/>
              <w:right w:val="single" w:sz="4" w:space="0" w:color="auto"/>
            </w:tcBorders>
            <w:vAlign w:val="center"/>
          </w:tcPr>
          <w:p w14:paraId="425D901E"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single" w:sz="4" w:space="0" w:color="auto"/>
              <w:left w:val="nil"/>
              <w:bottom w:val="nil"/>
              <w:right w:val="single" w:sz="4" w:space="0" w:color="auto"/>
            </w:tcBorders>
            <w:vAlign w:val="center"/>
          </w:tcPr>
          <w:p w14:paraId="1A6EB900"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部门（单位）履行职责而实际完成工作数与计划工作数的比率，用以反映和考核</w:t>
            </w:r>
            <w:proofErr w:type="gramStart"/>
            <w:r>
              <w:rPr>
                <w:rFonts w:ascii="宋体" w:hAnsi="宋体" w:cs="宋体" w:hint="eastAsia"/>
                <w:color w:val="000000"/>
                <w:kern w:val="0"/>
                <w:sz w:val="15"/>
                <w:szCs w:val="15"/>
              </w:rPr>
              <w:t>履</w:t>
            </w:r>
            <w:proofErr w:type="gramEnd"/>
            <w:r>
              <w:rPr>
                <w:rFonts w:ascii="宋体" w:hAnsi="宋体" w:cs="宋体" w:hint="eastAsia"/>
                <w:color w:val="000000"/>
                <w:kern w:val="0"/>
                <w:sz w:val="15"/>
                <w:szCs w:val="15"/>
              </w:rPr>
              <w:t>职工作任务目标的实现程度。</w:t>
            </w:r>
          </w:p>
        </w:tc>
        <w:tc>
          <w:tcPr>
            <w:tcW w:w="2541" w:type="dxa"/>
            <w:tcBorders>
              <w:top w:val="single" w:sz="4" w:space="0" w:color="auto"/>
              <w:left w:val="nil"/>
              <w:bottom w:val="nil"/>
              <w:right w:val="single" w:sz="4" w:space="0" w:color="auto"/>
            </w:tcBorders>
            <w:vAlign w:val="center"/>
          </w:tcPr>
          <w:p w14:paraId="24BBF045" w14:textId="77777777" w:rsidR="008D68C9" w:rsidRDefault="00000000">
            <w:pPr>
              <w:spacing w:line="240" w:lineRule="exact"/>
            </w:pPr>
            <w:r>
              <w:rPr>
                <w:rFonts w:ascii="宋体" w:hAnsi="宋体" w:cs="宋体" w:hint="eastAsia"/>
                <w:color w:val="000000"/>
                <w:kern w:val="0"/>
                <w:sz w:val="15"/>
                <w:szCs w:val="15"/>
              </w:rPr>
              <w:t>实际完成率=（实际完成工作数/计划工作数）×100%。</w:t>
            </w:r>
            <w:r>
              <w:rPr>
                <w:rFonts w:ascii="宋体" w:hAnsi="宋体" w:cs="宋体" w:hint="eastAsia"/>
                <w:color w:val="000000"/>
                <w:kern w:val="0"/>
                <w:sz w:val="15"/>
                <w:szCs w:val="15"/>
              </w:rPr>
              <w:br/>
              <w:t>实际完成工作数：一定时期（年度或规划期）内部门（单位）实际完成工作任务的数量。计划工作数：部门（单位）整体绩效目标确定的一定时期（年度或规划期）内预计完成工作任务的数量。</w:t>
            </w:r>
          </w:p>
          <w:p w14:paraId="58FD548B"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br/>
            </w:r>
          </w:p>
        </w:tc>
        <w:tc>
          <w:tcPr>
            <w:tcW w:w="1867" w:type="dxa"/>
            <w:tcBorders>
              <w:top w:val="single" w:sz="4" w:space="0" w:color="auto"/>
              <w:left w:val="single" w:sz="4" w:space="0" w:color="auto"/>
              <w:bottom w:val="single" w:sz="4" w:space="0" w:color="auto"/>
              <w:right w:val="single" w:sz="4" w:space="0" w:color="auto"/>
            </w:tcBorders>
            <w:vAlign w:val="center"/>
          </w:tcPr>
          <w:p w14:paraId="09A12B4C" w14:textId="77777777" w:rsidR="008D68C9" w:rsidRDefault="00000000">
            <w:pPr>
              <w:widowControl/>
              <w:jc w:val="left"/>
              <w:rPr>
                <w:rFonts w:ascii="宋体" w:hAnsi="宋体" w:cs="宋体"/>
                <w:kern w:val="0"/>
                <w:sz w:val="15"/>
                <w:szCs w:val="15"/>
              </w:rPr>
            </w:pPr>
            <w:r>
              <w:rPr>
                <w:rFonts w:ascii="宋体" w:hAnsi="宋体" w:cs="宋体" w:hint="eastAsia"/>
                <w:kern w:val="0"/>
                <w:sz w:val="15"/>
                <w:szCs w:val="15"/>
              </w:rPr>
              <w:t>全部完成年度目标得5分，按年度目标的未完成任务百分比酌情扣分，扣完为止</w:t>
            </w:r>
          </w:p>
        </w:tc>
        <w:tc>
          <w:tcPr>
            <w:tcW w:w="621" w:type="dxa"/>
            <w:tcBorders>
              <w:top w:val="single" w:sz="4" w:space="0" w:color="auto"/>
              <w:left w:val="single" w:sz="4" w:space="0" w:color="auto"/>
              <w:bottom w:val="single" w:sz="4" w:space="0" w:color="auto"/>
              <w:right w:val="single" w:sz="4" w:space="0" w:color="auto"/>
            </w:tcBorders>
            <w:vAlign w:val="center"/>
          </w:tcPr>
          <w:p w14:paraId="0706AB1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5</w:t>
            </w:r>
          </w:p>
        </w:tc>
      </w:tr>
      <w:tr w:rsidR="008D68C9" w14:paraId="71CEC008" w14:textId="77777777">
        <w:trPr>
          <w:trHeight w:hRule="exact" w:val="123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482F438"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nil"/>
              <w:bottom w:val="nil"/>
              <w:right w:val="nil"/>
            </w:tcBorders>
            <w:vAlign w:val="center"/>
          </w:tcPr>
          <w:p w14:paraId="6EDFEC38" w14:textId="77777777" w:rsidR="008D68C9" w:rsidRDefault="008D68C9">
            <w:pPr>
              <w:widowControl/>
              <w:jc w:val="left"/>
              <w:rPr>
                <w:rFonts w:ascii="宋体" w:hAnsi="宋体" w:cs="宋体"/>
                <w:color w:val="000000"/>
                <w:kern w:val="0"/>
                <w:sz w:val="15"/>
                <w:szCs w:val="15"/>
              </w:rPr>
            </w:pPr>
          </w:p>
        </w:tc>
        <w:tc>
          <w:tcPr>
            <w:tcW w:w="707" w:type="dxa"/>
            <w:tcBorders>
              <w:top w:val="single" w:sz="4" w:space="0" w:color="auto"/>
              <w:left w:val="single" w:sz="4" w:space="0" w:color="auto"/>
              <w:bottom w:val="single" w:sz="4" w:space="0" w:color="auto"/>
              <w:right w:val="single" w:sz="4" w:space="0" w:color="auto"/>
            </w:tcBorders>
            <w:vAlign w:val="center"/>
          </w:tcPr>
          <w:p w14:paraId="1F76256B" w14:textId="77777777" w:rsidR="008D68C9" w:rsidRDefault="00000000">
            <w:pPr>
              <w:widowControl/>
              <w:spacing w:line="200" w:lineRule="exact"/>
              <w:jc w:val="center"/>
              <w:rPr>
                <w:rFonts w:ascii="宋体" w:hAnsi="宋体" w:cs="宋体"/>
                <w:kern w:val="0"/>
                <w:sz w:val="15"/>
                <w:szCs w:val="15"/>
              </w:rPr>
            </w:pPr>
            <w:r>
              <w:rPr>
                <w:rFonts w:ascii="宋体" w:hAnsi="宋体" w:cs="宋体" w:hint="eastAsia"/>
                <w:kern w:val="0"/>
                <w:sz w:val="15"/>
                <w:szCs w:val="15"/>
              </w:rPr>
              <w:t>重点工作实际完成率</w:t>
            </w:r>
          </w:p>
        </w:tc>
        <w:tc>
          <w:tcPr>
            <w:tcW w:w="572" w:type="dxa"/>
            <w:gridSpan w:val="2"/>
            <w:tcBorders>
              <w:top w:val="single" w:sz="4" w:space="0" w:color="auto"/>
              <w:left w:val="single" w:sz="4" w:space="0" w:color="auto"/>
              <w:bottom w:val="single" w:sz="4" w:space="0" w:color="auto"/>
              <w:right w:val="single" w:sz="4" w:space="0" w:color="auto"/>
            </w:tcBorders>
            <w:vAlign w:val="center"/>
          </w:tcPr>
          <w:p w14:paraId="12864421"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single" w:sz="4" w:space="0" w:color="auto"/>
              <w:left w:val="nil"/>
              <w:bottom w:val="nil"/>
              <w:right w:val="single" w:sz="4" w:space="0" w:color="auto"/>
            </w:tcBorders>
            <w:vAlign w:val="center"/>
          </w:tcPr>
          <w:p w14:paraId="43F059B0"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部门（单位）年度重点工作实际完成数与交办或下达数的比率，用以反映对重点工作的办理落实程度。</w:t>
            </w:r>
          </w:p>
        </w:tc>
        <w:tc>
          <w:tcPr>
            <w:tcW w:w="2541" w:type="dxa"/>
            <w:tcBorders>
              <w:top w:val="single" w:sz="4" w:space="0" w:color="auto"/>
              <w:left w:val="nil"/>
              <w:bottom w:val="nil"/>
              <w:right w:val="single" w:sz="4" w:space="0" w:color="auto"/>
            </w:tcBorders>
            <w:vAlign w:val="center"/>
          </w:tcPr>
          <w:p w14:paraId="76AD9B8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重点工作实际完成率=（重点工作实际完成数/交办或下达数）×100%。</w:t>
            </w:r>
          </w:p>
        </w:tc>
        <w:tc>
          <w:tcPr>
            <w:tcW w:w="1867" w:type="dxa"/>
            <w:tcBorders>
              <w:top w:val="single" w:sz="4" w:space="0" w:color="auto"/>
              <w:left w:val="single" w:sz="4" w:space="0" w:color="auto"/>
              <w:bottom w:val="single" w:sz="4" w:space="0" w:color="auto"/>
              <w:right w:val="single" w:sz="4" w:space="0" w:color="auto"/>
            </w:tcBorders>
            <w:vAlign w:val="center"/>
          </w:tcPr>
          <w:p w14:paraId="7D33E3FA" w14:textId="77777777" w:rsidR="008D68C9" w:rsidRDefault="00000000">
            <w:pPr>
              <w:widowControl/>
              <w:jc w:val="left"/>
              <w:rPr>
                <w:rFonts w:ascii="宋体" w:hAnsi="宋体" w:cs="宋体"/>
                <w:kern w:val="0"/>
                <w:sz w:val="15"/>
                <w:szCs w:val="15"/>
              </w:rPr>
            </w:pPr>
            <w:r>
              <w:rPr>
                <w:rFonts w:ascii="宋体" w:hAnsi="宋体" w:cs="宋体" w:hint="eastAsia"/>
                <w:kern w:val="0"/>
                <w:sz w:val="15"/>
                <w:szCs w:val="15"/>
              </w:rPr>
              <w:t>根据绩效办对各部门为民办实事和部门重点工程与重点工作考核分数折算。</w:t>
            </w:r>
          </w:p>
        </w:tc>
        <w:tc>
          <w:tcPr>
            <w:tcW w:w="621" w:type="dxa"/>
            <w:tcBorders>
              <w:top w:val="single" w:sz="4" w:space="0" w:color="auto"/>
              <w:left w:val="single" w:sz="4" w:space="0" w:color="auto"/>
              <w:bottom w:val="single" w:sz="4" w:space="0" w:color="auto"/>
              <w:right w:val="single" w:sz="4" w:space="0" w:color="auto"/>
            </w:tcBorders>
            <w:vAlign w:val="center"/>
          </w:tcPr>
          <w:p w14:paraId="4ABDE388"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5</w:t>
            </w:r>
          </w:p>
        </w:tc>
      </w:tr>
      <w:tr w:rsidR="008D68C9" w14:paraId="7943B127" w14:textId="77777777">
        <w:trPr>
          <w:trHeight w:val="375"/>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3A9D4C4" w14:textId="77777777" w:rsidR="008D68C9" w:rsidRDefault="008D68C9">
            <w:pPr>
              <w:widowControl/>
              <w:jc w:val="left"/>
              <w:rPr>
                <w:rFonts w:ascii="宋体" w:hAnsi="宋体" w:cs="宋体"/>
                <w:color w:val="000000"/>
                <w:kern w:val="0"/>
                <w:sz w:val="15"/>
                <w:szCs w:val="15"/>
              </w:rPr>
            </w:pPr>
          </w:p>
        </w:tc>
        <w:tc>
          <w:tcPr>
            <w:tcW w:w="671" w:type="dxa"/>
            <w:vMerge w:val="restart"/>
            <w:tcBorders>
              <w:top w:val="single" w:sz="4" w:space="0" w:color="auto"/>
              <w:left w:val="single" w:sz="4" w:space="0" w:color="auto"/>
              <w:bottom w:val="single" w:sz="4" w:space="0" w:color="auto"/>
              <w:right w:val="single" w:sz="4" w:space="0" w:color="auto"/>
            </w:tcBorders>
            <w:vAlign w:val="center"/>
          </w:tcPr>
          <w:p w14:paraId="45541F5F"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履职效益（30分）</w:t>
            </w:r>
          </w:p>
        </w:tc>
        <w:tc>
          <w:tcPr>
            <w:tcW w:w="707" w:type="dxa"/>
            <w:tcBorders>
              <w:top w:val="nil"/>
              <w:left w:val="nil"/>
              <w:bottom w:val="single" w:sz="4" w:space="0" w:color="auto"/>
              <w:right w:val="single" w:sz="4" w:space="0" w:color="auto"/>
            </w:tcBorders>
            <w:vAlign w:val="center"/>
          </w:tcPr>
          <w:p w14:paraId="474453E1"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经济效益</w:t>
            </w:r>
          </w:p>
        </w:tc>
        <w:tc>
          <w:tcPr>
            <w:tcW w:w="572" w:type="dxa"/>
            <w:gridSpan w:val="2"/>
            <w:vMerge w:val="restart"/>
            <w:tcBorders>
              <w:top w:val="nil"/>
              <w:left w:val="single" w:sz="4" w:space="0" w:color="auto"/>
              <w:bottom w:val="single" w:sz="4" w:space="0" w:color="auto"/>
              <w:right w:val="single" w:sz="4" w:space="0" w:color="auto"/>
            </w:tcBorders>
            <w:vAlign w:val="center"/>
          </w:tcPr>
          <w:p w14:paraId="2352CCCF"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20</w:t>
            </w:r>
          </w:p>
        </w:tc>
        <w:tc>
          <w:tcPr>
            <w:tcW w:w="2112" w:type="dxa"/>
            <w:vMerge w:val="restart"/>
            <w:tcBorders>
              <w:top w:val="single" w:sz="4" w:space="0" w:color="auto"/>
              <w:left w:val="single" w:sz="4" w:space="0" w:color="auto"/>
              <w:bottom w:val="single" w:sz="4" w:space="0" w:color="auto"/>
              <w:right w:val="single" w:sz="4" w:space="0" w:color="auto"/>
            </w:tcBorders>
            <w:vAlign w:val="center"/>
          </w:tcPr>
          <w:p w14:paraId="3A87F485"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此三项指标为设置部门整体支出绩效评价指标时必须考虑的共性要素，可根据部门实际情况有选择的进行设置，并将其细化为相应的个性化指标。</w:t>
            </w:r>
          </w:p>
        </w:tc>
        <w:tc>
          <w:tcPr>
            <w:tcW w:w="4408" w:type="dxa"/>
            <w:gridSpan w:val="2"/>
            <w:vMerge w:val="restart"/>
            <w:tcBorders>
              <w:top w:val="single" w:sz="4" w:space="0" w:color="auto"/>
              <w:left w:val="single" w:sz="4" w:space="0" w:color="auto"/>
              <w:bottom w:val="single" w:sz="4" w:space="0" w:color="auto"/>
              <w:right w:val="single" w:sz="4" w:space="0" w:color="auto"/>
            </w:tcBorders>
            <w:vAlign w:val="center"/>
          </w:tcPr>
          <w:p w14:paraId="0CBC6B8F"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此项单位若没有产生“经济效益”和“生态效益”，社会效益从以下方面评价：①在中央、省政府考核中评为良以上；②在部门考核中被评为良以上；③在市政府绩效评估考核中为优秀的；④获市级文明奖、</w:t>
            </w:r>
            <w:proofErr w:type="gramStart"/>
            <w:r>
              <w:rPr>
                <w:rFonts w:ascii="宋体" w:hAnsi="宋体" w:cs="宋体" w:hint="eastAsia"/>
                <w:color w:val="000000"/>
                <w:kern w:val="0"/>
                <w:sz w:val="15"/>
                <w:szCs w:val="15"/>
              </w:rPr>
              <w:t>综治奖优秀</w:t>
            </w:r>
            <w:proofErr w:type="gramEnd"/>
            <w:r>
              <w:rPr>
                <w:rFonts w:ascii="宋体" w:hAnsi="宋体" w:cs="宋体" w:hint="eastAsia"/>
                <w:color w:val="000000"/>
                <w:kern w:val="0"/>
                <w:sz w:val="15"/>
                <w:szCs w:val="15"/>
              </w:rPr>
              <w:t>单位的；⑤全年无违反党的“八项规定”的；⑥无违反财政法规等行为的。</w:t>
            </w:r>
          </w:p>
        </w:tc>
        <w:tc>
          <w:tcPr>
            <w:tcW w:w="621" w:type="dxa"/>
            <w:tcBorders>
              <w:top w:val="nil"/>
              <w:left w:val="nil"/>
              <w:bottom w:val="nil"/>
              <w:right w:val="single" w:sz="4" w:space="0" w:color="auto"/>
            </w:tcBorders>
            <w:vAlign w:val="center"/>
          </w:tcPr>
          <w:p w14:paraId="33770D3D"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w:t>
            </w:r>
          </w:p>
        </w:tc>
      </w:tr>
      <w:tr w:rsidR="008D68C9" w14:paraId="1748D636" w14:textId="77777777">
        <w:trPr>
          <w:trHeight w:val="63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34F016C3"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9A5F866" w14:textId="77777777" w:rsidR="008D68C9" w:rsidRDefault="008D68C9">
            <w:pPr>
              <w:widowControl/>
              <w:jc w:val="left"/>
              <w:rPr>
                <w:rFonts w:ascii="宋体" w:hAnsi="宋体" w:cs="宋体"/>
                <w:color w:val="000000"/>
                <w:kern w:val="0"/>
                <w:sz w:val="15"/>
                <w:szCs w:val="15"/>
              </w:rPr>
            </w:pPr>
          </w:p>
        </w:tc>
        <w:tc>
          <w:tcPr>
            <w:tcW w:w="707" w:type="dxa"/>
            <w:tcBorders>
              <w:top w:val="nil"/>
              <w:left w:val="nil"/>
              <w:bottom w:val="single" w:sz="4" w:space="0" w:color="auto"/>
              <w:right w:val="single" w:sz="4" w:space="0" w:color="auto"/>
            </w:tcBorders>
            <w:vAlign w:val="center"/>
          </w:tcPr>
          <w:p w14:paraId="6F375EC8"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社会效益</w:t>
            </w:r>
          </w:p>
        </w:tc>
        <w:tc>
          <w:tcPr>
            <w:tcW w:w="0" w:type="auto"/>
            <w:gridSpan w:val="2"/>
            <w:vMerge/>
            <w:tcBorders>
              <w:top w:val="nil"/>
              <w:left w:val="nil"/>
              <w:bottom w:val="single" w:sz="4" w:space="0" w:color="auto"/>
              <w:right w:val="single" w:sz="4" w:space="0" w:color="auto"/>
            </w:tcBorders>
            <w:vAlign w:val="center"/>
          </w:tcPr>
          <w:p w14:paraId="3A3C1711"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2E4DBD1F" w14:textId="77777777" w:rsidR="008D68C9" w:rsidRDefault="008D68C9">
            <w:pPr>
              <w:widowControl/>
              <w:jc w:val="left"/>
              <w:rPr>
                <w:rFonts w:ascii="宋体" w:hAnsi="宋体" w:cs="宋体"/>
                <w:color w:val="000000"/>
                <w:kern w:val="0"/>
                <w:sz w:val="15"/>
                <w:szCs w:val="15"/>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14:paraId="775D0ED9" w14:textId="77777777" w:rsidR="008D68C9" w:rsidRDefault="008D68C9">
            <w:pPr>
              <w:widowControl/>
              <w:jc w:val="left"/>
              <w:rPr>
                <w:rFonts w:ascii="宋体" w:hAnsi="宋体" w:cs="宋体"/>
                <w:color w:val="000000"/>
                <w:kern w:val="0"/>
                <w:sz w:val="15"/>
                <w:szCs w:val="15"/>
              </w:rPr>
            </w:pPr>
          </w:p>
        </w:tc>
        <w:tc>
          <w:tcPr>
            <w:tcW w:w="621" w:type="dxa"/>
            <w:vMerge w:val="restart"/>
            <w:tcBorders>
              <w:top w:val="nil"/>
              <w:left w:val="nil"/>
              <w:bottom w:val="single" w:sz="4" w:space="0" w:color="auto"/>
              <w:right w:val="single" w:sz="4" w:space="0" w:color="auto"/>
            </w:tcBorders>
            <w:vAlign w:val="center"/>
          </w:tcPr>
          <w:p w14:paraId="480F8AB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20</w:t>
            </w:r>
          </w:p>
        </w:tc>
      </w:tr>
      <w:tr w:rsidR="008D68C9" w14:paraId="221E263B" w14:textId="77777777">
        <w:trPr>
          <w:trHeight w:val="634"/>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04E9FA5"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34F6877" w14:textId="77777777" w:rsidR="008D68C9" w:rsidRDefault="008D68C9">
            <w:pPr>
              <w:widowControl/>
              <w:jc w:val="left"/>
              <w:rPr>
                <w:rFonts w:ascii="宋体" w:hAnsi="宋体" w:cs="宋体"/>
                <w:color w:val="000000"/>
                <w:kern w:val="0"/>
                <w:sz w:val="15"/>
                <w:szCs w:val="15"/>
              </w:rPr>
            </w:pPr>
          </w:p>
        </w:tc>
        <w:tc>
          <w:tcPr>
            <w:tcW w:w="707" w:type="dxa"/>
            <w:tcBorders>
              <w:top w:val="nil"/>
              <w:left w:val="nil"/>
              <w:bottom w:val="single" w:sz="4" w:space="0" w:color="auto"/>
              <w:right w:val="single" w:sz="4" w:space="0" w:color="auto"/>
            </w:tcBorders>
            <w:vAlign w:val="center"/>
          </w:tcPr>
          <w:p w14:paraId="586769CE"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生态效益</w:t>
            </w:r>
          </w:p>
        </w:tc>
        <w:tc>
          <w:tcPr>
            <w:tcW w:w="0" w:type="auto"/>
            <w:gridSpan w:val="2"/>
            <w:vMerge/>
            <w:tcBorders>
              <w:top w:val="nil"/>
              <w:left w:val="nil"/>
              <w:bottom w:val="single" w:sz="4" w:space="0" w:color="auto"/>
              <w:right w:val="single" w:sz="4" w:space="0" w:color="auto"/>
            </w:tcBorders>
            <w:vAlign w:val="center"/>
          </w:tcPr>
          <w:p w14:paraId="1252F61B"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13B81D5D" w14:textId="77777777" w:rsidR="008D68C9" w:rsidRDefault="008D68C9">
            <w:pPr>
              <w:widowControl/>
              <w:jc w:val="left"/>
              <w:rPr>
                <w:rFonts w:ascii="宋体" w:hAnsi="宋体" w:cs="宋体"/>
                <w:color w:val="000000"/>
                <w:kern w:val="0"/>
                <w:sz w:val="15"/>
                <w:szCs w:val="15"/>
              </w:rPr>
            </w:pPr>
          </w:p>
        </w:tc>
        <w:tc>
          <w:tcPr>
            <w:tcW w:w="0" w:type="auto"/>
            <w:gridSpan w:val="2"/>
            <w:vMerge/>
            <w:tcBorders>
              <w:top w:val="single" w:sz="4" w:space="0" w:color="auto"/>
              <w:left w:val="single" w:sz="4" w:space="0" w:color="auto"/>
              <w:bottom w:val="single" w:sz="4" w:space="0" w:color="auto"/>
              <w:right w:val="single" w:sz="4" w:space="0" w:color="auto"/>
            </w:tcBorders>
            <w:vAlign w:val="center"/>
          </w:tcPr>
          <w:p w14:paraId="194B2B11" w14:textId="77777777" w:rsidR="008D68C9" w:rsidRDefault="008D68C9">
            <w:pPr>
              <w:widowControl/>
              <w:jc w:val="left"/>
              <w:rPr>
                <w:rFonts w:ascii="宋体" w:hAnsi="宋体" w:cs="宋体"/>
                <w:color w:val="000000"/>
                <w:kern w:val="0"/>
                <w:sz w:val="15"/>
                <w:szCs w:val="15"/>
              </w:rPr>
            </w:pPr>
          </w:p>
        </w:tc>
        <w:tc>
          <w:tcPr>
            <w:tcW w:w="0" w:type="auto"/>
            <w:vMerge/>
            <w:tcBorders>
              <w:top w:val="nil"/>
              <w:left w:val="nil"/>
              <w:bottom w:val="single" w:sz="4" w:space="0" w:color="auto"/>
              <w:right w:val="single" w:sz="4" w:space="0" w:color="auto"/>
            </w:tcBorders>
            <w:vAlign w:val="center"/>
          </w:tcPr>
          <w:p w14:paraId="73BFDA14" w14:textId="77777777" w:rsidR="008D68C9" w:rsidRDefault="008D68C9">
            <w:pPr>
              <w:widowControl/>
              <w:jc w:val="left"/>
              <w:rPr>
                <w:rFonts w:ascii="宋体" w:hAnsi="宋体" w:cs="宋体"/>
                <w:color w:val="000000"/>
                <w:kern w:val="0"/>
                <w:sz w:val="15"/>
                <w:szCs w:val="15"/>
              </w:rPr>
            </w:pPr>
          </w:p>
        </w:tc>
      </w:tr>
      <w:tr w:rsidR="008D68C9" w14:paraId="5C84D1B2" w14:textId="77777777">
        <w:trPr>
          <w:trHeight w:val="123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9AD6DBC"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0D57D05E" w14:textId="77777777" w:rsidR="008D68C9" w:rsidRDefault="008D68C9">
            <w:pPr>
              <w:widowControl/>
              <w:jc w:val="left"/>
              <w:rPr>
                <w:rFonts w:ascii="宋体" w:hAnsi="宋体" w:cs="宋体"/>
                <w:color w:val="000000"/>
                <w:kern w:val="0"/>
                <w:sz w:val="15"/>
                <w:szCs w:val="15"/>
              </w:rPr>
            </w:pPr>
          </w:p>
        </w:tc>
        <w:tc>
          <w:tcPr>
            <w:tcW w:w="707" w:type="dxa"/>
            <w:tcBorders>
              <w:top w:val="nil"/>
              <w:left w:val="nil"/>
              <w:bottom w:val="single" w:sz="4" w:space="0" w:color="auto"/>
              <w:right w:val="single" w:sz="4" w:space="0" w:color="auto"/>
            </w:tcBorders>
            <w:vAlign w:val="center"/>
          </w:tcPr>
          <w:p w14:paraId="7CE15E6B"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行政效能</w:t>
            </w:r>
          </w:p>
        </w:tc>
        <w:tc>
          <w:tcPr>
            <w:tcW w:w="572" w:type="dxa"/>
            <w:gridSpan w:val="2"/>
            <w:tcBorders>
              <w:top w:val="nil"/>
              <w:left w:val="nil"/>
              <w:bottom w:val="single" w:sz="4" w:space="0" w:color="auto"/>
              <w:right w:val="single" w:sz="4" w:space="0" w:color="auto"/>
            </w:tcBorders>
            <w:vAlign w:val="center"/>
          </w:tcPr>
          <w:p w14:paraId="6CF01885"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nil"/>
              <w:left w:val="nil"/>
              <w:bottom w:val="single" w:sz="4" w:space="0" w:color="auto"/>
              <w:right w:val="single" w:sz="4" w:space="0" w:color="auto"/>
            </w:tcBorders>
            <w:vAlign w:val="center"/>
          </w:tcPr>
          <w:p w14:paraId="51E984A6"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部门（单位）促进部门改进文风会风，加强经费及资产管理，推动网上办事，提高行政效率，降低行政成本效果情况。</w:t>
            </w:r>
          </w:p>
        </w:tc>
        <w:tc>
          <w:tcPr>
            <w:tcW w:w="2541" w:type="dxa"/>
            <w:tcBorders>
              <w:top w:val="nil"/>
              <w:left w:val="nil"/>
              <w:bottom w:val="single" w:sz="4" w:space="0" w:color="auto"/>
              <w:right w:val="single" w:sz="4" w:space="0" w:color="auto"/>
            </w:tcBorders>
            <w:vAlign w:val="center"/>
          </w:tcPr>
          <w:p w14:paraId="0692C886"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根据部门自评材料评定</w:t>
            </w:r>
          </w:p>
        </w:tc>
        <w:tc>
          <w:tcPr>
            <w:tcW w:w="1867" w:type="dxa"/>
            <w:tcBorders>
              <w:top w:val="nil"/>
              <w:left w:val="nil"/>
              <w:bottom w:val="single" w:sz="4" w:space="0" w:color="auto"/>
              <w:right w:val="single" w:sz="4" w:space="0" w:color="auto"/>
            </w:tcBorders>
            <w:vAlign w:val="center"/>
          </w:tcPr>
          <w:p w14:paraId="48236597"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较好的计5分；一般3分；无效果或者效果不明显0分。</w:t>
            </w:r>
          </w:p>
        </w:tc>
        <w:tc>
          <w:tcPr>
            <w:tcW w:w="621" w:type="dxa"/>
            <w:tcBorders>
              <w:top w:val="nil"/>
              <w:left w:val="nil"/>
              <w:bottom w:val="single" w:sz="4" w:space="0" w:color="auto"/>
              <w:right w:val="single" w:sz="4" w:space="0" w:color="auto"/>
            </w:tcBorders>
            <w:vAlign w:val="center"/>
          </w:tcPr>
          <w:p w14:paraId="10FD3271"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5</w:t>
            </w:r>
          </w:p>
        </w:tc>
      </w:tr>
      <w:tr w:rsidR="008D68C9" w14:paraId="5B413A9C" w14:textId="77777777">
        <w:trPr>
          <w:trHeight w:val="1296"/>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6E6D7FCA" w14:textId="77777777" w:rsidR="008D68C9" w:rsidRDefault="008D68C9">
            <w:pPr>
              <w:widowControl/>
              <w:jc w:val="left"/>
              <w:rPr>
                <w:rFonts w:ascii="宋体" w:hAnsi="宋体" w:cs="宋体"/>
                <w:color w:val="000000"/>
                <w:kern w:val="0"/>
                <w:sz w:val="15"/>
                <w:szCs w:val="15"/>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79CC5853" w14:textId="77777777" w:rsidR="008D68C9" w:rsidRDefault="008D68C9">
            <w:pPr>
              <w:widowControl/>
              <w:jc w:val="left"/>
              <w:rPr>
                <w:rFonts w:ascii="宋体" w:hAnsi="宋体" w:cs="宋体"/>
                <w:color w:val="000000"/>
                <w:kern w:val="0"/>
                <w:sz w:val="15"/>
                <w:szCs w:val="15"/>
              </w:rPr>
            </w:pPr>
          </w:p>
        </w:tc>
        <w:tc>
          <w:tcPr>
            <w:tcW w:w="707" w:type="dxa"/>
            <w:tcBorders>
              <w:top w:val="nil"/>
              <w:left w:val="single" w:sz="4" w:space="0" w:color="auto"/>
              <w:bottom w:val="single" w:sz="4" w:space="0" w:color="auto"/>
              <w:right w:val="single" w:sz="4" w:space="0" w:color="auto"/>
            </w:tcBorders>
            <w:vAlign w:val="center"/>
          </w:tcPr>
          <w:p w14:paraId="2F655061" w14:textId="77777777" w:rsidR="008D68C9" w:rsidRDefault="00000000">
            <w:pPr>
              <w:widowControl/>
              <w:spacing w:line="200" w:lineRule="exact"/>
              <w:jc w:val="center"/>
              <w:rPr>
                <w:rFonts w:ascii="宋体" w:hAnsi="宋体" w:cs="宋体"/>
                <w:color w:val="000000"/>
                <w:kern w:val="0"/>
                <w:sz w:val="15"/>
                <w:szCs w:val="15"/>
              </w:rPr>
            </w:pPr>
            <w:r>
              <w:rPr>
                <w:rFonts w:ascii="宋体" w:hAnsi="宋体" w:cs="宋体" w:hint="eastAsia"/>
                <w:color w:val="000000"/>
                <w:kern w:val="0"/>
                <w:sz w:val="15"/>
                <w:szCs w:val="15"/>
              </w:rPr>
              <w:t>社会公众或服务对象满意度</w:t>
            </w:r>
          </w:p>
        </w:tc>
        <w:tc>
          <w:tcPr>
            <w:tcW w:w="572" w:type="dxa"/>
            <w:gridSpan w:val="2"/>
            <w:tcBorders>
              <w:top w:val="nil"/>
              <w:left w:val="single" w:sz="4" w:space="0" w:color="auto"/>
              <w:bottom w:val="single" w:sz="4" w:space="0" w:color="auto"/>
              <w:right w:val="single" w:sz="4" w:space="0" w:color="auto"/>
            </w:tcBorders>
            <w:vAlign w:val="center"/>
          </w:tcPr>
          <w:p w14:paraId="5CC96630" w14:textId="77777777" w:rsidR="008D68C9" w:rsidRDefault="00000000">
            <w:pPr>
              <w:widowControl/>
              <w:jc w:val="center"/>
              <w:rPr>
                <w:rFonts w:ascii="宋体" w:hAnsi="宋体" w:cs="宋体"/>
                <w:color w:val="000000"/>
                <w:kern w:val="0"/>
                <w:sz w:val="15"/>
                <w:szCs w:val="15"/>
              </w:rPr>
            </w:pPr>
            <w:r>
              <w:rPr>
                <w:rFonts w:ascii="宋体" w:hAnsi="宋体" w:cs="宋体" w:hint="eastAsia"/>
                <w:color w:val="000000"/>
                <w:kern w:val="0"/>
                <w:sz w:val="15"/>
                <w:szCs w:val="15"/>
              </w:rPr>
              <w:t>5</w:t>
            </w:r>
          </w:p>
        </w:tc>
        <w:tc>
          <w:tcPr>
            <w:tcW w:w="2112" w:type="dxa"/>
            <w:tcBorders>
              <w:top w:val="single" w:sz="4" w:space="0" w:color="auto"/>
              <w:left w:val="nil"/>
              <w:bottom w:val="single" w:sz="4" w:space="0" w:color="auto"/>
              <w:right w:val="single" w:sz="4" w:space="0" w:color="auto"/>
            </w:tcBorders>
            <w:vAlign w:val="center"/>
          </w:tcPr>
          <w:p w14:paraId="35622E2F"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社会公众或部门（单位）的服务对象对部门履职效果的满意程度。</w:t>
            </w:r>
          </w:p>
        </w:tc>
        <w:tc>
          <w:tcPr>
            <w:tcW w:w="2541" w:type="dxa"/>
            <w:tcBorders>
              <w:top w:val="single" w:sz="4" w:space="0" w:color="auto"/>
              <w:left w:val="nil"/>
              <w:bottom w:val="single" w:sz="4" w:space="0" w:color="auto"/>
              <w:right w:val="single" w:sz="4" w:space="0" w:color="auto"/>
            </w:tcBorders>
            <w:vAlign w:val="center"/>
          </w:tcPr>
          <w:p w14:paraId="12928663"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社会公众或服务对象是指部门（单位）履行职责而影响到的部门、群体或个人，一般采取社会调查的方式。</w:t>
            </w:r>
          </w:p>
        </w:tc>
        <w:tc>
          <w:tcPr>
            <w:tcW w:w="1867" w:type="dxa"/>
            <w:tcBorders>
              <w:top w:val="single" w:sz="4" w:space="0" w:color="auto"/>
              <w:left w:val="single" w:sz="4" w:space="0" w:color="auto"/>
              <w:bottom w:val="single" w:sz="4" w:space="0" w:color="auto"/>
              <w:right w:val="single" w:sz="4" w:space="0" w:color="auto"/>
            </w:tcBorders>
            <w:vAlign w:val="center"/>
          </w:tcPr>
          <w:p w14:paraId="1A3A381E"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90%（含）以上计5分；</w:t>
            </w:r>
            <w:r>
              <w:rPr>
                <w:rFonts w:ascii="宋体" w:hAnsi="宋体" w:cs="宋体" w:hint="eastAsia"/>
                <w:color w:val="000000"/>
                <w:kern w:val="0"/>
                <w:sz w:val="15"/>
                <w:szCs w:val="15"/>
              </w:rPr>
              <w:br/>
              <w:t>80%（含）-90%，计4分；</w:t>
            </w:r>
            <w:r>
              <w:rPr>
                <w:rFonts w:ascii="宋体" w:hAnsi="宋体" w:cs="宋体" w:hint="eastAsia"/>
                <w:color w:val="000000"/>
                <w:kern w:val="0"/>
                <w:sz w:val="15"/>
                <w:szCs w:val="15"/>
              </w:rPr>
              <w:br/>
              <w:t>70%（含）-80%，计3分；</w:t>
            </w:r>
            <w:r>
              <w:rPr>
                <w:rFonts w:ascii="宋体" w:hAnsi="宋体" w:cs="宋体" w:hint="eastAsia"/>
                <w:color w:val="000000"/>
                <w:kern w:val="0"/>
                <w:sz w:val="15"/>
                <w:szCs w:val="15"/>
              </w:rPr>
              <w:br/>
              <w:t>低于70%计0分。</w:t>
            </w:r>
          </w:p>
        </w:tc>
        <w:tc>
          <w:tcPr>
            <w:tcW w:w="621" w:type="dxa"/>
            <w:tcBorders>
              <w:top w:val="nil"/>
              <w:left w:val="single" w:sz="4" w:space="0" w:color="auto"/>
              <w:bottom w:val="single" w:sz="4" w:space="0" w:color="auto"/>
              <w:right w:val="single" w:sz="4" w:space="0" w:color="auto"/>
            </w:tcBorders>
            <w:vAlign w:val="center"/>
          </w:tcPr>
          <w:p w14:paraId="46879A8F"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 xml:space="preserve">　5</w:t>
            </w:r>
          </w:p>
        </w:tc>
      </w:tr>
      <w:tr w:rsidR="008D68C9" w14:paraId="35FE03BF" w14:textId="77777777">
        <w:trPr>
          <w:trHeight w:val="559"/>
          <w:jc w:val="center"/>
        </w:trPr>
        <w:tc>
          <w:tcPr>
            <w:tcW w:w="775" w:type="dxa"/>
            <w:tcBorders>
              <w:top w:val="single" w:sz="4" w:space="0" w:color="auto"/>
              <w:left w:val="single" w:sz="4" w:space="0" w:color="auto"/>
              <w:bottom w:val="single" w:sz="4" w:space="0" w:color="auto"/>
              <w:right w:val="single" w:sz="4" w:space="0" w:color="auto"/>
            </w:tcBorders>
            <w:vAlign w:val="center"/>
          </w:tcPr>
          <w:p w14:paraId="70726AA1"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总分</w:t>
            </w:r>
          </w:p>
        </w:tc>
        <w:tc>
          <w:tcPr>
            <w:tcW w:w="1919" w:type="dxa"/>
            <w:gridSpan w:val="3"/>
            <w:tcBorders>
              <w:top w:val="single" w:sz="4" w:space="0" w:color="auto"/>
              <w:left w:val="nil"/>
              <w:bottom w:val="single" w:sz="4" w:space="0" w:color="auto"/>
              <w:right w:val="single" w:sz="4" w:space="0" w:color="auto"/>
            </w:tcBorders>
            <w:vAlign w:val="center"/>
          </w:tcPr>
          <w:p w14:paraId="70719B45"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100</w:t>
            </w:r>
          </w:p>
        </w:tc>
        <w:tc>
          <w:tcPr>
            <w:tcW w:w="7172" w:type="dxa"/>
            <w:gridSpan w:val="5"/>
            <w:tcBorders>
              <w:top w:val="single" w:sz="4" w:space="0" w:color="auto"/>
              <w:left w:val="nil"/>
              <w:bottom w:val="single" w:sz="4" w:space="0" w:color="auto"/>
              <w:right w:val="single" w:sz="4" w:space="0" w:color="auto"/>
            </w:tcBorders>
            <w:vAlign w:val="center"/>
          </w:tcPr>
          <w:p w14:paraId="515E9EC6" w14:textId="77777777" w:rsidR="008D68C9" w:rsidRDefault="00000000">
            <w:pPr>
              <w:widowControl/>
              <w:jc w:val="left"/>
              <w:rPr>
                <w:rFonts w:ascii="宋体" w:hAnsi="宋体" w:cs="宋体"/>
                <w:color w:val="000000"/>
                <w:kern w:val="0"/>
                <w:sz w:val="15"/>
                <w:szCs w:val="15"/>
              </w:rPr>
            </w:pPr>
            <w:r>
              <w:rPr>
                <w:rFonts w:ascii="宋体" w:hAnsi="宋体" w:cs="宋体" w:hint="eastAsia"/>
                <w:color w:val="000000"/>
                <w:kern w:val="0"/>
                <w:sz w:val="15"/>
                <w:szCs w:val="15"/>
              </w:rPr>
              <w:t>94.5</w:t>
            </w:r>
          </w:p>
        </w:tc>
      </w:tr>
    </w:tbl>
    <w:p w14:paraId="6CE28CDA" w14:textId="77777777" w:rsidR="008D68C9" w:rsidRDefault="008D68C9">
      <w:pPr>
        <w:ind w:leftChars="-472" w:left="-991" w:firstLineChars="200" w:firstLine="420"/>
      </w:pPr>
    </w:p>
    <w:p w14:paraId="4A427890" w14:textId="77777777" w:rsidR="008D68C9" w:rsidRDefault="008D68C9">
      <w:pPr>
        <w:ind w:leftChars="-472" w:left="-991" w:firstLineChars="200" w:firstLine="420"/>
      </w:pPr>
    </w:p>
    <w:p w14:paraId="7317FF68" w14:textId="77777777" w:rsidR="008D68C9" w:rsidRDefault="008D68C9">
      <w:pPr>
        <w:ind w:leftChars="-472" w:left="-991" w:firstLineChars="200" w:firstLine="480"/>
        <w:rPr>
          <w:rFonts w:ascii="宋体" w:hAnsi="宋体" w:cs="宋体"/>
          <w:color w:val="000000"/>
          <w:kern w:val="0"/>
          <w:sz w:val="24"/>
          <w:szCs w:val="24"/>
        </w:rPr>
      </w:pPr>
    </w:p>
    <w:p w14:paraId="7AAE237A" w14:textId="77777777" w:rsidR="008D68C9" w:rsidRDefault="008D68C9">
      <w:pPr>
        <w:ind w:leftChars="-472" w:left="-991" w:firstLineChars="200" w:firstLine="480"/>
        <w:rPr>
          <w:rFonts w:ascii="宋体" w:hAnsi="宋体" w:cs="宋体"/>
          <w:color w:val="000000"/>
          <w:kern w:val="0"/>
          <w:sz w:val="24"/>
          <w:szCs w:val="24"/>
        </w:rPr>
      </w:pPr>
    </w:p>
    <w:p w14:paraId="17EA6DF2" w14:textId="141ECAD4" w:rsidR="008D68C9" w:rsidRPr="00B7091D" w:rsidRDefault="00B7091D" w:rsidP="00B7091D">
      <w:pPr>
        <w:pStyle w:val="4"/>
      </w:pPr>
      <w:r w:rsidRPr="00B7091D">
        <w:rPr>
          <w:rFonts w:hint="eastAsia"/>
        </w:rPr>
        <w:lastRenderedPageBreak/>
        <w:t>附件</w:t>
      </w:r>
      <w:r w:rsidRPr="00B7091D">
        <w:rPr>
          <w:rFonts w:hint="eastAsia"/>
        </w:rPr>
        <w:t>2</w:t>
      </w:r>
    </w:p>
    <w:p w14:paraId="1788AB4B" w14:textId="77777777" w:rsidR="008D68C9" w:rsidRDefault="00000000">
      <w:pPr>
        <w:jc w:val="center"/>
        <w:rPr>
          <w:rFonts w:ascii="黑体" w:eastAsia="黑体" w:hAnsi="黑体" w:cs="宋体"/>
          <w:color w:val="000000"/>
          <w:kern w:val="0"/>
          <w:sz w:val="36"/>
          <w:szCs w:val="36"/>
        </w:rPr>
      </w:pPr>
      <w:r>
        <w:rPr>
          <w:rFonts w:ascii="黑体" w:eastAsia="黑体" w:hAnsi="黑体" w:cs="宋体" w:hint="eastAsia"/>
          <w:color w:val="000000"/>
          <w:kern w:val="0"/>
          <w:sz w:val="36"/>
          <w:szCs w:val="36"/>
        </w:rPr>
        <w:t>部门整体支出绩效评价基础数据表</w:t>
      </w:r>
    </w:p>
    <w:p w14:paraId="71200F92" w14:textId="77777777" w:rsidR="008D68C9" w:rsidRDefault="00000000">
      <w:pPr>
        <w:ind w:leftChars="-472" w:left="-991" w:firstLineChars="150" w:firstLine="360"/>
      </w:pPr>
      <w:r>
        <w:rPr>
          <w:rFonts w:ascii="仿宋_GB2312" w:eastAsia="仿宋_GB2312" w:hAnsi="宋体" w:cs="宋体" w:hint="eastAsia"/>
          <w:color w:val="000000"/>
          <w:kern w:val="0"/>
          <w:sz w:val="24"/>
          <w:szCs w:val="24"/>
        </w:rPr>
        <w:t>填报单位：张家界市发展和改革委员会</w:t>
      </w:r>
    </w:p>
    <w:tbl>
      <w:tblPr>
        <w:tblW w:w="10603" w:type="dxa"/>
        <w:jc w:val="center"/>
        <w:tblLook w:val="04A0" w:firstRow="1" w:lastRow="0" w:firstColumn="1" w:lastColumn="0" w:noHBand="0" w:noVBand="1"/>
      </w:tblPr>
      <w:tblGrid>
        <w:gridCol w:w="3317"/>
        <w:gridCol w:w="988"/>
        <w:gridCol w:w="936"/>
        <w:gridCol w:w="941"/>
        <w:gridCol w:w="1275"/>
        <w:gridCol w:w="1560"/>
        <w:gridCol w:w="1586"/>
      </w:tblGrid>
      <w:tr w:rsidR="008D68C9" w14:paraId="68FAB135" w14:textId="77777777">
        <w:trPr>
          <w:trHeight w:val="450"/>
          <w:jc w:val="center"/>
        </w:trPr>
        <w:tc>
          <w:tcPr>
            <w:tcW w:w="3317" w:type="dxa"/>
            <w:vMerge w:val="restart"/>
            <w:tcBorders>
              <w:top w:val="single" w:sz="4" w:space="0" w:color="auto"/>
              <w:left w:val="single" w:sz="4" w:space="0" w:color="auto"/>
              <w:bottom w:val="single" w:sz="4" w:space="0" w:color="auto"/>
              <w:right w:val="single" w:sz="4" w:space="0" w:color="auto"/>
            </w:tcBorders>
            <w:vAlign w:val="center"/>
          </w:tcPr>
          <w:p w14:paraId="76023E22"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财政供养人员情况</w:t>
            </w:r>
          </w:p>
        </w:tc>
        <w:tc>
          <w:tcPr>
            <w:tcW w:w="1924" w:type="dxa"/>
            <w:gridSpan w:val="2"/>
            <w:tcBorders>
              <w:top w:val="single" w:sz="4" w:space="0" w:color="auto"/>
              <w:left w:val="nil"/>
              <w:bottom w:val="single" w:sz="4" w:space="0" w:color="auto"/>
              <w:right w:val="single" w:sz="4" w:space="0" w:color="auto"/>
            </w:tcBorders>
            <w:vAlign w:val="center"/>
          </w:tcPr>
          <w:p w14:paraId="4F16A659"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编制数</w:t>
            </w:r>
          </w:p>
        </w:tc>
        <w:tc>
          <w:tcPr>
            <w:tcW w:w="2216" w:type="dxa"/>
            <w:gridSpan w:val="2"/>
            <w:tcBorders>
              <w:top w:val="single" w:sz="4" w:space="0" w:color="auto"/>
              <w:left w:val="nil"/>
              <w:bottom w:val="single" w:sz="4" w:space="0" w:color="auto"/>
              <w:right w:val="single" w:sz="4" w:space="0" w:color="auto"/>
            </w:tcBorders>
            <w:vAlign w:val="center"/>
          </w:tcPr>
          <w:p w14:paraId="32F871E2"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2020年实际</w:t>
            </w:r>
          </w:p>
          <w:p w14:paraId="0035C4DF"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在职人数</w:t>
            </w:r>
          </w:p>
        </w:tc>
        <w:tc>
          <w:tcPr>
            <w:tcW w:w="3146" w:type="dxa"/>
            <w:gridSpan w:val="2"/>
            <w:tcBorders>
              <w:top w:val="single" w:sz="4" w:space="0" w:color="auto"/>
              <w:left w:val="nil"/>
              <w:bottom w:val="single" w:sz="4" w:space="0" w:color="auto"/>
              <w:right w:val="single" w:sz="4" w:space="0" w:color="auto"/>
            </w:tcBorders>
            <w:vAlign w:val="center"/>
          </w:tcPr>
          <w:p w14:paraId="29CE435B"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控制率</w:t>
            </w:r>
          </w:p>
        </w:tc>
      </w:tr>
      <w:tr w:rsidR="008D68C9" w14:paraId="11BE61E2" w14:textId="77777777">
        <w:trPr>
          <w:trHeight w:val="402"/>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46D1A7D" w14:textId="77777777" w:rsidR="008D68C9" w:rsidRDefault="008D68C9">
            <w:pPr>
              <w:widowControl/>
              <w:jc w:val="left"/>
              <w:rPr>
                <w:rFonts w:ascii="仿宋_GB2312" w:eastAsia="仿宋_GB2312" w:hAnsi="宋体" w:cs="宋体"/>
                <w:color w:val="000000"/>
                <w:kern w:val="0"/>
                <w:sz w:val="24"/>
                <w:szCs w:val="24"/>
              </w:rPr>
            </w:pPr>
          </w:p>
        </w:tc>
        <w:tc>
          <w:tcPr>
            <w:tcW w:w="1924" w:type="dxa"/>
            <w:gridSpan w:val="2"/>
            <w:tcBorders>
              <w:top w:val="single" w:sz="4" w:space="0" w:color="auto"/>
              <w:left w:val="nil"/>
              <w:bottom w:val="single" w:sz="4" w:space="0" w:color="auto"/>
              <w:right w:val="single" w:sz="4" w:space="0" w:color="auto"/>
            </w:tcBorders>
            <w:vAlign w:val="center"/>
          </w:tcPr>
          <w:p w14:paraId="189E1E41"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78</w:t>
            </w:r>
          </w:p>
        </w:tc>
        <w:tc>
          <w:tcPr>
            <w:tcW w:w="2216" w:type="dxa"/>
            <w:gridSpan w:val="2"/>
            <w:tcBorders>
              <w:top w:val="single" w:sz="4" w:space="0" w:color="auto"/>
              <w:left w:val="nil"/>
              <w:bottom w:val="single" w:sz="4" w:space="0" w:color="auto"/>
              <w:right w:val="single" w:sz="4" w:space="0" w:color="auto"/>
            </w:tcBorders>
            <w:vAlign w:val="center"/>
          </w:tcPr>
          <w:p w14:paraId="04FB6C5F"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81</w:t>
            </w:r>
          </w:p>
        </w:tc>
        <w:tc>
          <w:tcPr>
            <w:tcW w:w="3146" w:type="dxa"/>
            <w:gridSpan w:val="2"/>
            <w:tcBorders>
              <w:top w:val="single" w:sz="4" w:space="0" w:color="auto"/>
              <w:left w:val="nil"/>
              <w:bottom w:val="single" w:sz="4" w:space="0" w:color="auto"/>
              <w:right w:val="single" w:sz="4" w:space="0" w:color="auto"/>
            </w:tcBorders>
            <w:vAlign w:val="center"/>
          </w:tcPr>
          <w:p w14:paraId="3C793A4D"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96.3%</w:t>
            </w:r>
          </w:p>
        </w:tc>
      </w:tr>
      <w:tr w:rsidR="008D68C9" w14:paraId="1F039604"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4FBDE0A2" w14:textId="77777777" w:rsidR="008D68C9" w:rsidRDefault="00000000">
            <w:pPr>
              <w:widowControl/>
              <w:ind w:firstLineChars="250" w:firstLine="600"/>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经费控制情况</w:t>
            </w:r>
          </w:p>
        </w:tc>
        <w:tc>
          <w:tcPr>
            <w:tcW w:w="1924" w:type="dxa"/>
            <w:gridSpan w:val="2"/>
            <w:tcBorders>
              <w:top w:val="single" w:sz="4" w:space="0" w:color="auto"/>
              <w:left w:val="nil"/>
              <w:bottom w:val="single" w:sz="4" w:space="0" w:color="auto"/>
              <w:right w:val="single" w:sz="4" w:space="0" w:color="auto"/>
            </w:tcBorders>
            <w:vAlign w:val="center"/>
          </w:tcPr>
          <w:p w14:paraId="425F9645"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2019年</w:t>
            </w:r>
          </w:p>
          <w:p w14:paraId="6814B2BA"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决算数</w:t>
            </w:r>
          </w:p>
        </w:tc>
        <w:tc>
          <w:tcPr>
            <w:tcW w:w="2216" w:type="dxa"/>
            <w:gridSpan w:val="2"/>
            <w:tcBorders>
              <w:top w:val="single" w:sz="4" w:space="0" w:color="auto"/>
              <w:left w:val="nil"/>
              <w:bottom w:val="single" w:sz="4" w:space="0" w:color="auto"/>
              <w:right w:val="single" w:sz="4" w:space="0" w:color="auto"/>
            </w:tcBorders>
            <w:vAlign w:val="center"/>
          </w:tcPr>
          <w:p w14:paraId="7D19655B"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2020年</w:t>
            </w:r>
          </w:p>
          <w:p w14:paraId="52524174"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预算数</w:t>
            </w:r>
          </w:p>
        </w:tc>
        <w:tc>
          <w:tcPr>
            <w:tcW w:w="3146" w:type="dxa"/>
            <w:gridSpan w:val="2"/>
            <w:tcBorders>
              <w:top w:val="single" w:sz="4" w:space="0" w:color="auto"/>
              <w:left w:val="nil"/>
              <w:bottom w:val="single" w:sz="4" w:space="0" w:color="auto"/>
              <w:right w:val="single" w:sz="4" w:space="0" w:color="auto"/>
            </w:tcBorders>
          </w:tcPr>
          <w:p w14:paraId="38A5E079"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2020年</w:t>
            </w:r>
          </w:p>
          <w:p w14:paraId="4EA159EC"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决算数</w:t>
            </w:r>
          </w:p>
        </w:tc>
      </w:tr>
      <w:tr w:rsidR="008D68C9" w14:paraId="301FFB4F"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679EE4C7"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三</w:t>
            </w:r>
            <w:proofErr w:type="gramStart"/>
            <w:r>
              <w:rPr>
                <w:rFonts w:ascii="仿宋_GB2312" w:eastAsia="仿宋_GB2312" w:hAnsi="宋体" w:cs="宋体" w:hint="eastAsia"/>
                <w:color w:val="000000"/>
                <w:kern w:val="0"/>
                <w:sz w:val="24"/>
                <w:szCs w:val="24"/>
              </w:rPr>
              <w:t>公经费</w:t>
            </w:r>
            <w:proofErr w:type="gramEnd"/>
          </w:p>
        </w:tc>
        <w:tc>
          <w:tcPr>
            <w:tcW w:w="1924" w:type="dxa"/>
            <w:gridSpan w:val="2"/>
            <w:tcBorders>
              <w:top w:val="single" w:sz="4" w:space="0" w:color="auto"/>
              <w:left w:val="nil"/>
              <w:bottom w:val="single" w:sz="4" w:space="0" w:color="auto"/>
              <w:right w:val="single" w:sz="4" w:space="0" w:color="auto"/>
            </w:tcBorders>
            <w:vAlign w:val="center"/>
          </w:tcPr>
          <w:p w14:paraId="55BB9184"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36.21</w:t>
            </w:r>
          </w:p>
        </w:tc>
        <w:tc>
          <w:tcPr>
            <w:tcW w:w="2216" w:type="dxa"/>
            <w:gridSpan w:val="2"/>
            <w:tcBorders>
              <w:top w:val="single" w:sz="4" w:space="0" w:color="auto"/>
              <w:left w:val="nil"/>
              <w:bottom w:val="single" w:sz="4" w:space="0" w:color="auto"/>
              <w:right w:val="single" w:sz="4" w:space="0" w:color="auto"/>
            </w:tcBorders>
            <w:vAlign w:val="center"/>
          </w:tcPr>
          <w:p w14:paraId="17CA4C06"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59.85</w:t>
            </w:r>
          </w:p>
        </w:tc>
        <w:tc>
          <w:tcPr>
            <w:tcW w:w="3146" w:type="dxa"/>
            <w:gridSpan w:val="2"/>
            <w:tcBorders>
              <w:top w:val="single" w:sz="4" w:space="0" w:color="auto"/>
              <w:left w:val="nil"/>
              <w:bottom w:val="single" w:sz="4" w:space="0" w:color="auto"/>
              <w:right w:val="single" w:sz="4" w:space="0" w:color="auto"/>
            </w:tcBorders>
            <w:vAlign w:val="center"/>
          </w:tcPr>
          <w:p w14:paraId="46D33834"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31.3</w:t>
            </w:r>
          </w:p>
        </w:tc>
      </w:tr>
      <w:tr w:rsidR="008D68C9" w14:paraId="4B154AE7"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55F8C610" w14:textId="77777777" w:rsidR="008D68C9" w:rsidRDefault="00000000">
            <w:pPr>
              <w:widowControl/>
              <w:ind w:left="585"/>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1.公务用车购置和维护经费</w:t>
            </w:r>
          </w:p>
        </w:tc>
        <w:tc>
          <w:tcPr>
            <w:tcW w:w="1924" w:type="dxa"/>
            <w:gridSpan w:val="2"/>
            <w:tcBorders>
              <w:top w:val="single" w:sz="4" w:space="0" w:color="auto"/>
              <w:left w:val="nil"/>
              <w:bottom w:val="single" w:sz="4" w:space="0" w:color="auto"/>
              <w:right w:val="single" w:sz="4" w:space="0" w:color="auto"/>
            </w:tcBorders>
            <w:vAlign w:val="center"/>
          </w:tcPr>
          <w:p w14:paraId="43D32EC7"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29.79</w:t>
            </w:r>
          </w:p>
        </w:tc>
        <w:tc>
          <w:tcPr>
            <w:tcW w:w="2216" w:type="dxa"/>
            <w:gridSpan w:val="2"/>
            <w:tcBorders>
              <w:top w:val="single" w:sz="4" w:space="0" w:color="auto"/>
              <w:left w:val="nil"/>
              <w:bottom w:val="single" w:sz="4" w:space="0" w:color="auto"/>
              <w:right w:val="single" w:sz="4" w:space="0" w:color="auto"/>
            </w:tcBorders>
            <w:vAlign w:val="center"/>
          </w:tcPr>
          <w:p w14:paraId="17B64F67"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41.85</w:t>
            </w:r>
          </w:p>
        </w:tc>
        <w:tc>
          <w:tcPr>
            <w:tcW w:w="3146" w:type="dxa"/>
            <w:gridSpan w:val="2"/>
            <w:tcBorders>
              <w:top w:val="single" w:sz="4" w:space="0" w:color="auto"/>
              <w:left w:val="nil"/>
              <w:bottom w:val="single" w:sz="4" w:space="0" w:color="auto"/>
              <w:right w:val="single" w:sz="4" w:space="0" w:color="auto"/>
            </w:tcBorders>
            <w:vAlign w:val="center"/>
          </w:tcPr>
          <w:p w14:paraId="4810E45B"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21.96</w:t>
            </w:r>
          </w:p>
        </w:tc>
      </w:tr>
      <w:tr w:rsidR="008D68C9" w14:paraId="49DFD96B"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0AE76393"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其中：公车购置</w:t>
            </w:r>
          </w:p>
        </w:tc>
        <w:tc>
          <w:tcPr>
            <w:tcW w:w="1924" w:type="dxa"/>
            <w:gridSpan w:val="2"/>
            <w:tcBorders>
              <w:top w:val="single" w:sz="4" w:space="0" w:color="auto"/>
              <w:left w:val="nil"/>
              <w:bottom w:val="single" w:sz="4" w:space="0" w:color="auto"/>
              <w:right w:val="single" w:sz="4" w:space="0" w:color="auto"/>
            </w:tcBorders>
            <w:vAlign w:val="center"/>
          </w:tcPr>
          <w:p w14:paraId="69E3C834"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c>
          <w:tcPr>
            <w:tcW w:w="2216" w:type="dxa"/>
            <w:gridSpan w:val="2"/>
            <w:tcBorders>
              <w:top w:val="single" w:sz="4" w:space="0" w:color="auto"/>
              <w:left w:val="nil"/>
              <w:bottom w:val="single" w:sz="4" w:space="0" w:color="auto"/>
              <w:right w:val="single" w:sz="4" w:space="0" w:color="auto"/>
            </w:tcBorders>
            <w:vAlign w:val="center"/>
          </w:tcPr>
          <w:p w14:paraId="62846FDF"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c>
          <w:tcPr>
            <w:tcW w:w="3146" w:type="dxa"/>
            <w:gridSpan w:val="2"/>
            <w:tcBorders>
              <w:top w:val="single" w:sz="4" w:space="0" w:color="auto"/>
              <w:left w:val="nil"/>
              <w:bottom w:val="single" w:sz="4" w:space="0" w:color="auto"/>
              <w:right w:val="single" w:sz="4" w:space="0" w:color="auto"/>
            </w:tcBorders>
            <w:vAlign w:val="center"/>
          </w:tcPr>
          <w:p w14:paraId="0DC496F4"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r>
      <w:tr w:rsidR="008D68C9" w14:paraId="16AFFAD5"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2BA4C25A"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公车运行维护</w:t>
            </w:r>
          </w:p>
        </w:tc>
        <w:tc>
          <w:tcPr>
            <w:tcW w:w="1924" w:type="dxa"/>
            <w:gridSpan w:val="2"/>
            <w:tcBorders>
              <w:top w:val="single" w:sz="4" w:space="0" w:color="auto"/>
              <w:left w:val="nil"/>
              <w:bottom w:val="single" w:sz="4" w:space="0" w:color="auto"/>
              <w:right w:val="single" w:sz="4" w:space="0" w:color="auto"/>
            </w:tcBorders>
            <w:vAlign w:val="center"/>
          </w:tcPr>
          <w:p w14:paraId="6AC0C06C"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29.79</w:t>
            </w:r>
          </w:p>
        </w:tc>
        <w:tc>
          <w:tcPr>
            <w:tcW w:w="2216" w:type="dxa"/>
            <w:gridSpan w:val="2"/>
            <w:tcBorders>
              <w:top w:val="single" w:sz="4" w:space="0" w:color="auto"/>
              <w:left w:val="nil"/>
              <w:bottom w:val="single" w:sz="4" w:space="0" w:color="auto"/>
              <w:right w:val="single" w:sz="4" w:space="0" w:color="auto"/>
            </w:tcBorders>
            <w:vAlign w:val="center"/>
          </w:tcPr>
          <w:p w14:paraId="7FA2E53E"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41.85</w:t>
            </w:r>
          </w:p>
        </w:tc>
        <w:tc>
          <w:tcPr>
            <w:tcW w:w="3146" w:type="dxa"/>
            <w:gridSpan w:val="2"/>
            <w:tcBorders>
              <w:top w:val="single" w:sz="4" w:space="0" w:color="auto"/>
              <w:left w:val="nil"/>
              <w:bottom w:val="single" w:sz="4" w:space="0" w:color="auto"/>
              <w:right w:val="single" w:sz="4" w:space="0" w:color="auto"/>
            </w:tcBorders>
            <w:vAlign w:val="center"/>
          </w:tcPr>
          <w:p w14:paraId="27417EF3"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21.96</w:t>
            </w:r>
          </w:p>
        </w:tc>
      </w:tr>
      <w:tr w:rsidR="008D68C9" w14:paraId="60F073C1"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78368CF3"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2.因公出国</w:t>
            </w:r>
          </w:p>
        </w:tc>
        <w:tc>
          <w:tcPr>
            <w:tcW w:w="1924" w:type="dxa"/>
            <w:gridSpan w:val="2"/>
            <w:tcBorders>
              <w:top w:val="single" w:sz="4" w:space="0" w:color="auto"/>
              <w:left w:val="nil"/>
              <w:bottom w:val="single" w:sz="4" w:space="0" w:color="auto"/>
              <w:right w:val="single" w:sz="4" w:space="0" w:color="auto"/>
            </w:tcBorders>
            <w:vAlign w:val="center"/>
          </w:tcPr>
          <w:p w14:paraId="5FCA42BB"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c>
          <w:tcPr>
            <w:tcW w:w="2216" w:type="dxa"/>
            <w:gridSpan w:val="2"/>
            <w:tcBorders>
              <w:top w:val="single" w:sz="4" w:space="0" w:color="auto"/>
              <w:left w:val="nil"/>
              <w:bottom w:val="single" w:sz="4" w:space="0" w:color="auto"/>
              <w:right w:val="single" w:sz="4" w:space="0" w:color="auto"/>
            </w:tcBorders>
            <w:vAlign w:val="center"/>
          </w:tcPr>
          <w:p w14:paraId="6D6EF4E5"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c>
          <w:tcPr>
            <w:tcW w:w="3146" w:type="dxa"/>
            <w:gridSpan w:val="2"/>
            <w:tcBorders>
              <w:top w:val="single" w:sz="4" w:space="0" w:color="auto"/>
              <w:left w:val="nil"/>
              <w:bottom w:val="single" w:sz="4" w:space="0" w:color="auto"/>
              <w:right w:val="single" w:sz="4" w:space="0" w:color="auto"/>
            </w:tcBorders>
            <w:vAlign w:val="center"/>
          </w:tcPr>
          <w:p w14:paraId="54B5E3C9"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r>
      <w:tr w:rsidR="008D68C9" w14:paraId="4666AAD0"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039595DF"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3.公务接待</w:t>
            </w:r>
          </w:p>
        </w:tc>
        <w:tc>
          <w:tcPr>
            <w:tcW w:w="1924" w:type="dxa"/>
            <w:gridSpan w:val="2"/>
            <w:tcBorders>
              <w:top w:val="single" w:sz="4" w:space="0" w:color="auto"/>
              <w:left w:val="nil"/>
              <w:bottom w:val="single" w:sz="4" w:space="0" w:color="auto"/>
              <w:right w:val="single" w:sz="4" w:space="0" w:color="auto"/>
            </w:tcBorders>
            <w:vAlign w:val="center"/>
          </w:tcPr>
          <w:p w14:paraId="1CA34EED"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6.42</w:t>
            </w:r>
          </w:p>
        </w:tc>
        <w:tc>
          <w:tcPr>
            <w:tcW w:w="2216" w:type="dxa"/>
            <w:gridSpan w:val="2"/>
            <w:tcBorders>
              <w:top w:val="single" w:sz="4" w:space="0" w:color="auto"/>
              <w:left w:val="nil"/>
              <w:bottom w:val="single" w:sz="4" w:space="0" w:color="auto"/>
              <w:right w:val="single" w:sz="4" w:space="0" w:color="auto"/>
            </w:tcBorders>
            <w:vAlign w:val="center"/>
          </w:tcPr>
          <w:p w14:paraId="40179571"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18</w:t>
            </w:r>
          </w:p>
        </w:tc>
        <w:tc>
          <w:tcPr>
            <w:tcW w:w="3146" w:type="dxa"/>
            <w:gridSpan w:val="2"/>
            <w:tcBorders>
              <w:top w:val="single" w:sz="4" w:space="0" w:color="auto"/>
              <w:left w:val="nil"/>
              <w:bottom w:val="single" w:sz="4" w:space="0" w:color="auto"/>
              <w:right w:val="single" w:sz="4" w:space="0" w:color="auto"/>
            </w:tcBorders>
            <w:vAlign w:val="center"/>
          </w:tcPr>
          <w:p w14:paraId="63CCE47E"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9.34</w:t>
            </w:r>
          </w:p>
        </w:tc>
      </w:tr>
      <w:tr w:rsidR="008D68C9" w14:paraId="7E7D1463"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6BB3BCC2"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项目支出</w:t>
            </w:r>
          </w:p>
        </w:tc>
        <w:tc>
          <w:tcPr>
            <w:tcW w:w="1924" w:type="dxa"/>
            <w:gridSpan w:val="2"/>
            <w:tcBorders>
              <w:top w:val="single" w:sz="4" w:space="0" w:color="auto"/>
              <w:left w:val="nil"/>
              <w:bottom w:val="single" w:sz="4" w:space="0" w:color="auto"/>
              <w:right w:val="single" w:sz="4" w:space="0" w:color="auto"/>
            </w:tcBorders>
            <w:vAlign w:val="center"/>
          </w:tcPr>
          <w:p w14:paraId="695D5E74"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1442.67</w:t>
            </w:r>
          </w:p>
        </w:tc>
        <w:tc>
          <w:tcPr>
            <w:tcW w:w="2216" w:type="dxa"/>
            <w:gridSpan w:val="2"/>
            <w:tcBorders>
              <w:top w:val="single" w:sz="4" w:space="0" w:color="auto"/>
              <w:left w:val="nil"/>
              <w:bottom w:val="single" w:sz="4" w:space="0" w:color="auto"/>
              <w:right w:val="single" w:sz="4" w:space="0" w:color="auto"/>
            </w:tcBorders>
            <w:vAlign w:val="center"/>
          </w:tcPr>
          <w:p w14:paraId="3DFD6B45"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1987.00</w:t>
            </w:r>
          </w:p>
        </w:tc>
        <w:tc>
          <w:tcPr>
            <w:tcW w:w="3146" w:type="dxa"/>
            <w:gridSpan w:val="2"/>
            <w:tcBorders>
              <w:top w:val="single" w:sz="4" w:space="0" w:color="auto"/>
              <w:left w:val="nil"/>
              <w:bottom w:val="single" w:sz="4" w:space="0" w:color="auto"/>
              <w:right w:val="single" w:sz="4" w:space="0" w:color="auto"/>
            </w:tcBorders>
            <w:vAlign w:val="center"/>
          </w:tcPr>
          <w:p w14:paraId="3E091BD2"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1860.37</w:t>
            </w:r>
          </w:p>
        </w:tc>
      </w:tr>
      <w:tr w:rsidR="008D68C9" w14:paraId="2D0D6E76"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1F8416A6" w14:textId="77777777" w:rsidR="008D68C9" w:rsidRDefault="00000000">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1.业务工作专项</w:t>
            </w:r>
          </w:p>
        </w:tc>
        <w:tc>
          <w:tcPr>
            <w:tcW w:w="1924" w:type="dxa"/>
            <w:gridSpan w:val="2"/>
            <w:tcBorders>
              <w:top w:val="single" w:sz="4" w:space="0" w:color="auto"/>
              <w:left w:val="nil"/>
              <w:bottom w:val="single" w:sz="4" w:space="0" w:color="auto"/>
              <w:right w:val="single" w:sz="4" w:space="0" w:color="auto"/>
            </w:tcBorders>
            <w:vAlign w:val="center"/>
          </w:tcPr>
          <w:p w14:paraId="29659B5F"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1442.67</w:t>
            </w:r>
          </w:p>
        </w:tc>
        <w:tc>
          <w:tcPr>
            <w:tcW w:w="2216" w:type="dxa"/>
            <w:gridSpan w:val="2"/>
            <w:tcBorders>
              <w:top w:val="single" w:sz="4" w:space="0" w:color="auto"/>
              <w:left w:val="nil"/>
              <w:bottom w:val="single" w:sz="4" w:space="0" w:color="auto"/>
              <w:right w:val="single" w:sz="4" w:space="0" w:color="auto"/>
            </w:tcBorders>
            <w:vAlign w:val="center"/>
          </w:tcPr>
          <w:p w14:paraId="3A0666C6"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1987.00</w:t>
            </w:r>
          </w:p>
        </w:tc>
        <w:tc>
          <w:tcPr>
            <w:tcW w:w="3146" w:type="dxa"/>
            <w:gridSpan w:val="2"/>
            <w:tcBorders>
              <w:top w:val="single" w:sz="4" w:space="0" w:color="auto"/>
              <w:left w:val="nil"/>
              <w:bottom w:val="single" w:sz="4" w:space="0" w:color="auto"/>
              <w:right w:val="single" w:sz="4" w:space="0" w:color="auto"/>
            </w:tcBorders>
            <w:vAlign w:val="center"/>
          </w:tcPr>
          <w:p w14:paraId="22A19CE9"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1860.37</w:t>
            </w:r>
          </w:p>
        </w:tc>
      </w:tr>
      <w:tr w:rsidR="008D68C9" w14:paraId="1B73ED1D"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77537A35" w14:textId="77777777" w:rsidR="008D68C9" w:rsidRDefault="00000000">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2.运行维护专项</w:t>
            </w:r>
          </w:p>
        </w:tc>
        <w:tc>
          <w:tcPr>
            <w:tcW w:w="1924" w:type="dxa"/>
            <w:gridSpan w:val="2"/>
            <w:tcBorders>
              <w:top w:val="single" w:sz="4" w:space="0" w:color="auto"/>
              <w:left w:val="nil"/>
              <w:bottom w:val="single" w:sz="4" w:space="0" w:color="auto"/>
              <w:right w:val="single" w:sz="4" w:space="0" w:color="auto"/>
            </w:tcBorders>
            <w:vAlign w:val="center"/>
          </w:tcPr>
          <w:p w14:paraId="58843F2F"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c>
          <w:tcPr>
            <w:tcW w:w="2216" w:type="dxa"/>
            <w:gridSpan w:val="2"/>
            <w:tcBorders>
              <w:top w:val="single" w:sz="4" w:space="0" w:color="auto"/>
              <w:left w:val="nil"/>
              <w:bottom w:val="single" w:sz="4" w:space="0" w:color="auto"/>
              <w:right w:val="single" w:sz="4" w:space="0" w:color="auto"/>
            </w:tcBorders>
            <w:vAlign w:val="center"/>
          </w:tcPr>
          <w:p w14:paraId="6478D8B2"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c>
          <w:tcPr>
            <w:tcW w:w="3146" w:type="dxa"/>
            <w:gridSpan w:val="2"/>
            <w:tcBorders>
              <w:top w:val="single" w:sz="4" w:space="0" w:color="auto"/>
              <w:left w:val="nil"/>
              <w:bottom w:val="single" w:sz="4" w:space="0" w:color="auto"/>
              <w:right w:val="single" w:sz="4" w:space="0" w:color="auto"/>
            </w:tcBorders>
            <w:vAlign w:val="center"/>
          </w:tcPr>
          <w:p w14:paraId="0B1E10B7"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0</w:t>
            </w:r>
          </w:p>
        </w:tc>
      </w:tr>
      <w:tr w:rsidR="008D68C9" w14:paraId="7A46D81D"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495C2097" w14:textId="77777777" w:rsidR="008D68C9" w:rsidRDefault="00000000">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w:t>
            </w:r>
          </w:p>
        </w:tc>
        <w:tc>
          <w:tcPr>
            <w:tcW w:w="1924" w:type="dxa"/>
            <w:gridSpan w:val="2"/>
            <w:tcBorders>
              <w:top w:val="single" w:sz="4" w:space="0" w:color="auto"/>
              <w:left w:val="nil"/>
              <w:bottom w:val="single" w:sz="4" w:space="0" w:color="auto"/>
              <w:right w:val="single" w:sz="4" w:space="0" w:color="auto"/>
            </w:tcBorders>
            <w:vAlign w:val="center"/>
          </w:tcPr>
          <w:p w14:paraId="6E5B1D64" w14:textId="77777777" w:rsidR="008D68C9" w:rsidRDefault="008D68C9">
            <w:pPr>
              <w:jc w:val="center"/>
              <w:rPr>
                <w:rFonts w:ascii="仿宋_GB2312" w:eastAsia="仿宋_GB2312" w:hAnsi="宋体" w:cs="宋体"/>
                <w:color w:val="000000"/>
                <w:kern w:val="0"/>
                <w:sz w:val="24"/>
                <w:szCs w:val="24"/>
              </w:rPr>
            </w:pPr>
          </w:p>
        </w:tc>
        <w:tc>
          <w:tcPr>
            <w:tcW w:w="2216" w:type="dxa"/>
            <w:gridSpan w:val="2"/>
            <w:tcBorders>
              <w:top w:val="single" w:sz="4" w:space="0" w:color="auto"/>
              <w:left w:val="nil"/>
              <w:bottom w:val="single" w:sz="4" w:space="0" w:color="auto"/>
              <w:right w:val="single" w:sz="4" w:space="0" w:color="auto"/>
            </w:tcBorders>
            <w:vAlign w:val="center"/>
          </w:tcPr>
          <w:p w14:paraId="38836BAE" w14:textId="77777777" w:rsidR="008D68C9" w:rsidRDefault="008D68C9">
            <w:pPr>
              <w:widowControl/>
              <w:jc w:val="center"/>
              <w:rPr>
                <w:rFonts w:ascii="仿宋_GB2312" w:eastAsia="仿宋_GB2312" w:hAnsi="宋体" w:cs="宋体"/>
                <w:color w:val="000000"/>
                <w:kern w:val="0"/>
                <w:sz w:val="24"/>
                <w:szCs w:val="24"/>
              </w:rPr>
            </w:pPr>
          </w:p>
        </w:tc>
        <w:tc>
          <w:tcPr>
            <w:tcW w:w="3146" w:type="dxa"/>
            <w:gridSpan w:val="2"/>
            <w:tcBorders>
              <w:top w:val="single" w:sz="4" w:space="0" w:color="auto"/>
              <w:left w:val="nil"/>
              <w:bottom w:val="single" w:sz="4" w:space="0" w:color="auto"/>
              <w:right w:val="single" w:sz="4" w:space="0" w:color="auto"/>
            </w:tcBorders>
            <w:vAlign w:val="center"/>
          </w:tcPr>
          <w:p w14:paraId="24C6D0D9" w14:textId="77777777" w:rsidR="008D68C9" w:rsidRDefault="008D68C9">
            <w:pPr>
              <w:jc w:val="center"/>
              <w:rPr>
                <w:rFonts w:ascii="仿宋_GB2312" w:eastAsia="仿宋_GB2312" w:hAnsi="宋体" w:cs="宋体"/>
                <w:color w:val="000000"/>
                <w:kern w:val="0"/>
                <w:sz w:val="24"/>
                <w:szCs w:val="24"/>
              </w:rPr>
            </w:pPr>
          </w:p>
        </w:tc>
      </w:tr>
      <w:tr w:rsidR="008D68C9" w14:paraId="7044DF9A"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0ADDD516"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公用经费 </w:t>
            </w:r>
          </w:p>
        </w:tc>
        <w:tc>
          <w:tcPr>
            <w:tcW w:w="1924" w:type="dxa"/>
            <w:gridSpan w:val="2"/>
            <w:tcBorders>
              <w:top w:val="single" w:sz="4" w:space="0" w:color="auto"/>
              <w:left w:val="nil"/>
              <w:bottom w:val="single" w:sz="4" w:space="0" w:color="auto"/>
              <w:right w:val="single" w:sz="4" w:space="0" w:color="auto"/>
            </w:tcBorders>
            <w:vAlign w:val="center"/>
          </w:tcPr>
          <w:p w14:paraId="7B446CE7"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257.39</w:t>
            </w:r>
          </w:p>
        </w:tc>
        <w:tc>
          <w:tcPr>
            <w:tcW w:w="2216" w:type="dxa"/>
            <w:gridSpan w:val="2"/>
            <w:tcBorders>
              <w:top w:val="single" w:sz="4" w:space="0" w:color="auto"/>
              <w:left w:val="nil"/>
              <w:bottom w:val="single" w:sz="4" w:space="0" w:color="auto"/>
              <w:right w:val="single" w:sz="4" w:space="0" w:color="auto"/>
            </w:tcBorders>
            <w:vAlign w:val="center"/>
          </w:tcPr>
          <w:p w14:paraId="0B12D7CD"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832.78</w:t>
            </w:r>
          </w:p>
        </w:tc>
        <w:tc>
          <w:tcPr>
            <w:tcW w:w="3146" w:type="dxa"/>
            <w:gridSpan w:val="2"/>
            <w:tcBorders>
              <w:top w:val="single" w:sz="4" w:space="0" w:color="auto"/>
              <w:left w:val="nil"/>
              <w:bottom w:val="single" w:sz="4" w:space="0" w:color="auto"/>
              <w:right w:val="single" w:sz="4" w:space="0" w:color="auto"/>
            </w:tcBorders>
            <w:vAlign w:val="center"/>
          </w:tcPr>
          <w:p w14:paraId="6CED8CF1"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518.37</w:t>
            </w:r>
          </w:p>
        </w:tc>
      </w:tr>
      <w:tr w:rsidR="008D68C9" w14:paraId="13F3B147"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1D430012" w14:textId="77777777" w:rsidR="008D68C9" w:rsidRDefault="00000000">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其中：办公经费 </w:t>
            </w:r>
          </w:p>
        </w:tc>
        <w:tc>
          <w:tcPr>
            <w:tcW w:w="1924" w:type="dxa"/>
            <w:gridSpan w:val="2"/>
            <w:tcBorders>
              <w:top w:val="single" w:sz="4" w:space="0" w:color="auto"/>
              <w:left w:val="nil"/>
              <w:bottom w:val="single" w:sz="4" w:space="0" w:color="auto"/>
              <w:right w:val="single" w:sz="4" w:space="0" w:color="auto"/>
            </w:tcBorders>
            <w:vAlign w:val="center"/>
          </w:tcPr>
          <w:p w14:paraId="2E668663"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28.93</w:t>
            </w:r>
          </w:p>
        </w:tc>
        <w:tc>
          <w:tcPr>
            <w:tcW w:w="2216" w:type="dxa"/>
            <w:gridSpan w:val="2"/>
            <w:tcBorders>
              <w:top w:val="single" w:sz="4" w:space="0" w:color="auto"/>
              <w:left w:val="nil"/>
              <w:bottom w:val="single" w:sz="4" w:space="0" w:color="auto"/>
              <w:right w:val="single" w:sz="4" w:space="0" w:color="auto"/>
            </w:tcBorders>
            <w:vAlign w:val="center"/>
          </w:tcPr>
          <w:p w14:paraId="2E3E4142"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10</w:t>
            </w:r>
          </w:p>
        </w:tc>
        <w:tc>
          <w:tcPr>
            <w:tcW w:w="3146" w:type="dxa"/>
            <w:gridSpan w:val="2"/>
            <w:tcBorders>
              <w:top w:val="single" w:sz="4" w:space="0" w:color="auto"/>
              <w:left w:val="nil"/>
              <w:bottom w:val="single" w:sz="4" w:space="0" w:color="auto"/>
              <w:right w:val="single" w:sz="4" w:space="0" w:color="auto"/>
            </w:tcBorders>
            <w:vAlign w:val="center"/>
          </w:tcPr>
          <w:p w14:paraId="255A4AC8"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32.62</w:t>
            </w:r>
          </w:p>
        </w:tc>
      </w:tr>
      <w:tr w:rsidR="008D68C9" w14:paraId="12AC159B"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06E4A360" w14:textId="77777777" w:rsidR="008D68C9" w:rsidRDefault="00000000">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水费、电费、差旅费</w:t>
            </w:r>
          </w:p>
        </w:tc>
        <w:tc>
          <w:tcPr>
            <w:tcW w:w="1924" w:type="dxa"/>
            <w:gridSpan w:val="2"/>
            <w:tcBorders>
              <w:top w:val="single" w:sz="4" w:space="0" w:color="auto"/>
              <w:left w:val="nil"/>
              <w:bottom w:val="single" w:sz="4" w:space="0" w:color="auto"/>
              <w:right w:val="single" w:sz="4" w:space="0" w:color="auto"/>
            </w:tcBorders>
            <w:vAlign w:val="center"/>
          </w:tcPr>
          <w:p w14:paraId="0C5C3E4B"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52.43</w:t>
            </w:r>
          </w:p>
        </w:tc>
        <w:tc>
          <w:tcPr>
            <w:tcW w:w="2216" w:type="dxa"/>
            <w:gridSpan w:val="2"/>
            <w:tcBorders>
              <w:top w:val="single" w:sz="4" w:space="0" w:color="auto"/>
              <w:left w:val="nil"/>
              <w:bottom w:val="single" w:sz="4" w:space="0" w:color="auto"/>
              <w:right w:val="single" w:sz="4" w:space="0" w:color="auto"/>
            </w:tcBorders>
            <w:vAlign w:val="center"/>
          </w:tcPr>
          <w:p w14:paraId="49CE815D"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20</w:t>
            </w:r>
          </w:p>
        </w:tc>
        <w:tc>
          <w:tcPr>
            <w:tcW w:w="3146" w:type="dxa"/>
            <w:gridSpan w:val="2"/>
            <w:tcBorders>
              <w:top w:val="single" w:sz="4" w:space="0" w:color="auto"/>
              <w:left w:val="nil"/>
              <w:bottom w:val="single" w:sz="4" w:space="0" w:color="auto"/>
              <w:right w:val="single" w:sz="4" w:space="0" w:color="auto"/>
            </w:tcBorders>
            <w:vAlign w:val="center"/>
          </w:tcPr>
          <w:p w14:paraId="12459685"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43.63</w:t>
            </w:r>
          </w:p>
        </w:tc>
      </w:tr>
      <w:tr w:rsidR="008D68C9" w14:paraId="2CFB568E" w14:textId="77777777">
        <w:trPr>
          <w:trHeight w:val="402"/>
          <w:jc w:val="center"/>
        </w:trPr>
        <w:tc>
          <w:tcPr>
            <w:tcW w:w="3317" w:type="dxa"/>
            <w:tcBorders>
              <w:top w:val="nil"/>
              <w:left w:val="single" w:sz="4" w:space="0" w:color="auto"/>
              <w:bottom w:val="single" w:sz="4" w:space="0" w:color="auto"/>
              <w:right w:val="single" w:sz="4" w:space="0" w:color="auto"/>
            </w:tcBorders>
            <w:vAlign w:val="center"/>
          </w:tcPr>
          <w:p w14:paraId="6EC59201" w14:textId="77777777" w:rsidR="008D68C9" w:rsidRDefault="00000000">
            <w:pPr>
              <w:widowControl/>
              <w:ind w:firstLineChars="50" w:firstLine="120"/>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会议费、培训费</w:t>
            </w:r>
          </w:p>
        </w:tc>
        <w:tc>
          <w:tcPr>
            <w:tcW w:w="1924" w:type="dxa"/>
            <w:gridSpan w:val="2"/>
            <w:tcBorders>
              <w:top w:val="single" w:sz="4" w:space="0" w:color="auto"/>
              <w:left w:val="nil"/>
              <w:bottom w:val="single" w:sz="4" w:space="0" w:color="auto"/>
              <w:right w:val="single" w:sz="4" w:space="0" w:color="auto"/>
            </w:tcBorders>
            <w:vAlign w:val="center"/>
          </w:tcPr>
          <w:p w14:paraId="2C7F2122"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5.76</w:t>
            </w:r>
          </w:p>
        </w:tc>
        <w:tc>
          <w:tcPr>
            <w:tcW w:w="2216" w:type="dxa"/>
            <w:gridSpan w:val="2"/>
            <w:tcBorders>
              <w:top w:val="single" w:sz="4" w:space="0" w:color="auto"/>
              <w:left w:val="nil"/>
              <w:bottom w:val="single" w:sz="4" w:space="0" w:color="auto"/>
              <w:right w:val="single" w:sz="4" w:space="0" w:color="auto"/>
            </w:tcBorders>
            <w:vAlign w:val="center"/>
          </w:tcPr>
          <w:p w14:paraId="2426D711"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120</w:t>
            </w:r>
          </w:p>
        </w:tc>
        <w:tc>
          <w:tcPr>
            <w:tcW w:w="3146" w:type="dxa"/>
            <w:gridSpan w:val="2"/>
            <w:tcBorders>
              <w:top w:val="single" w:sz="4" w:space="0" w:color="auto"/>
              <w:left w:val="nil"/>
              <w:bottom w:val="single" w:sz="4" w:space="0" w:color="auto"/>
              <w:right w:val="single" w:sz="4" w:space="0" w:color="auto"/>
            </w:tcBorders>
            <w:vAlign w:val="center"/>
          </w:tcPr>
          <w:p w14:paraId="0115661F"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30.1</w:t>
            </w:r>
          </w:p>
        </w:tc>
      </w:tr>
      <w:tr w:rsidR="008D68C9" w14:paraId="4E1FB641" w14:textId="77777777">
        <w:trPr>
          <w:trHeight w:val="435"/>
          <w:jc w:val="center"/>
        </w:trPr>
        <w:tc>
          <w:tcPr>
            <w:tcW w:w="3317" w:type="dxa"/>
            <w:tcBorders>
              <w:top w:val="nil"/>
              <w:left w:val="single" w:sz="4" w:space="0" w:color="auto"/>
              <w:bottom w:val="single" w:sz="4" w:space="0" w:color="auto"/>
              <w:right w:val="single" w:sz="4" w:space="0" w:color="auto"/>
            </w:tcBorders>
            <w:vAlign w:val="center"/>
          </w:tcPr>
          <w:p w14:paraId="41344E45"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政府采购金额</w:t>
            </w:r>
          </w:p>
        </w:tc>
        <w:tc>
          <w:tcPr>
            <w:tcW w:w="1924" w:type="dxa"/>
            <w:gridSpan w:val="2"/>
            <w:tcBorders>
              <w:top w:val="single" w:sz="4" w:space="0" w:color="auto"/>
              <w:left w:val="nil"/>
              <w:bottom w:val="single" w:sz="4" w:space="0" w:color="auto"/>
              <w:right w:val="single" w:sz="4" w:space="0" w:color="auto"/>
            </w:tcBorders>
            <w:vAlign w:val="center"/>
          </w:tcPr>
          <w:p w14:paraId="0EAB7364"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w:t>
            </w:r>
          </w:p>
        </w:tc>
        <w:tc>
          <w:tcPr>
            <w:tcW w:w="2216" w:type="dxa"/>
            <w:gridSpan w:val="2"/>
            <w:tcBorders>
              <w:top w:val="single" w:sz="4" w:space="0" w:color="auto"/>
              <w:left w:val="nil"/>
              <w:bottom w:val="single" w:sz="4" w:space="0" w:color="auto"/>
              <w:right w:val="single" w:sz="4" w:space="0" w:color="auto"/>
            </w:tcBorders>
            <w:vAlign w:val="center"/>
          </w:tcPr>
          <w:p w14:paraId="627675AE"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454.4</w:t>
            </w:r>
          </w:p>
        </w:tc>
        <w:tc>
          <w:tcPr>
            <w:tcW w:w="3146" w:type="dxa"/>
            <w:gridSpan w:val="2"/>
            <w:tcBorders>
              <w:top w:val="single" w:sz="4" w:space="0" w:color="auto"/>
              <w:left w:val="nil"/>
              <w:bottom w:val="single" w:sz="4" w:space="0" w:color="auto"/>
              <w:right w:val="single" w:sz="4" w:space="0" w:color="auto"/>
            </w:tcBorders>
            <w:vAlign w:val="center"/>
          </w:tcPr>
          <w:p w14:paraId="758D7072"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396.2</w:t>
            </w:r>
          </w:p>
        </w:tc>
      </w:tr>
      <w:tr w:rsidR="008D68C9" w14:paraId="08A80B33" w14:textId="77777777">
        <w:trPr>
          <w:trHeight w:val="450"/>
          <w:jc w:val="center"/>
        </w:trPr>
        <w:tc>
          <w:tcPr>
            <w:tcW w:w="3317" w:type="dxa"/>
            <w:tcBorders>
              <w:top w:val="nil"/>
              <w:left w:val="single" w:sz="4" w:space="0" w:color="auto"/>
              <w:bottom w:val="single" w:sz="4" w:space="0" w:color="auto"/>
              <w:right w:val="single" w:sz="4" w:space="0" w:color="auto"/>
            </w:tcBorders>
            <w:vAlign w:val="center"/>
          </w:tcPr>
          <w:p w14:paraId="319FCABC"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部门整体支出</w:t>
            </w:r>
          </w:p>
        </w:tc>
        <w:tc>
          <w:tcPr>
            <w:tcW w:w="1924" w:type="dxa"/>
            <w:gridSpan w:val="2"/>
            <w:tcBorders>
              <w:top w:val="single" w:sz="4" w:space="0" w:color="auto"/>
              <w:left w:val="nil"/>
              <w:bottom w:val="single" w:sz="4" w:space="0" w:color="000000"/>
              <w:right w:val="single" w:sz="4" w:space="0" w:color="auto"/>
            </w:tcBorders>
            <w:vAlign w:val="center"/>
          </w:tcPr>
          <w:p w14:paraId="5A315015" w14:textId="77777777" w:rsidR="008D68C9" w:rsidRDefault="00000000">
            <w:pPr>
              <w:widowControl/>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3149.38</w:t>
            </w:r>
          </w:p>
        </w:tc>
        <w:tc>
          <w:tcPr>
            <w:tcW w:w="2216" w:type="dxa"/>
            <w:gridSpan w:val="2"/>
            <w:tcBorders>
              <w:top w:val="single" w:sz="4" w:space="0" w:color="auto"/>
              <w:left w:val="nil"/>
              <w:bottom w:val="single" w:sz="4" w:space="0" w:color="auto"/>
              <w:right w:val="single" w:sz="4" w:space="0" w:color="auto"/>
            </w:tcBorders>
            <w:vAlign w:val="center"/>
          </w:tcPr>
          <w:p w14:paraId="30DA21E7"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3946.79</w:t>
            </w:r>
          </w:p>
        </w:tc>
        <w:tc>
          <w:tcPr>
            <w:tcW w:w="3146" w:type="dxa"/>
            <w:gridSpan w:val="2"/>
            <w:tcBorders>
              <w:top w:val="single" w:sz="4" w:space="0" w:color="auto"/>
              <w:left w:val="nil"/>
              <w:bottom w:val="single" w:sz="4" w:space="0" w:color="auto"/>
              <w:right w:val="single" w:sz="4" w:space="0" w:color="auto"/>
            </w:tcBorders>
            <w:vAlign w:val="center"/>
          </w:tcPr>
          <w:p w14:paraId="3B536074" w14:textId="77777777" w:rsidR="008D68C9" w:rsidRDefault="00000000">
            <w:pPr>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3955.09</w:t>
            </w:r>
          </w:p>
        </w:tc>
      </w:tr>
      <w:tr w:rsidR="008D68C9" w14:paraId="5FBE6C9E" w14:textId="77777777">
        <w:trPr>
          <w:trHeight w:val="897"/>
          <w:jc w:val="center"/>
        </w:trPr>
        <w:tc>
          <w:tcPr>
            <w:tcW w:w="3317" w:type="dxa"/>
            <w:tcBorders>
              <w:top w:val="nil"/>
              <w:left w:val="single" w:sz="4" w:space="0" w:color="auto"/>
              <w:bottom w:val="nil"/>
              <w:right w:val="nil"/>
            </w:tcBorders>
            <w:vAlign w:val="center"/>
          </w:tcPr>
          <w:p w14:paraId="31C25AD3" w14:textId="77777777" w:rsidR="008D68C9" w:rsidRDefault="008D68C9">
            <w:pPr>
              <w:widowControl/>
              <w:ind w:firstLineChars="100" w:firstLine="240"/>
              <w:rPr>
                <w:rFonts w:ascii="仿宋_GB2312" w:eastAsia="仿宋_GB2312" w:hAnsi="宋体" w:cs="宋体"/>
                <w:color w:val="000000"/>
                <w:kern w:val="0"/>
                <w:sz w:val="24"/>
                <w:szCs w:val="24"/>
              </w:rPr>
            </w:pPr>
          </w:p>
          <w:p w14:paraId="08232C71" w14:textId="77777777" w:rsidR="008D68C9" w:rsidRDefault="00000000">
            <w:pPr>
              <w:widowControl/>
              <w:ind w:firstLineChars="250" w:firstLine="600"/>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楼堂馆所控制情况</w:t>
            </w:r>
          </w:p>
          <w:p w14:paraId="486CB215" w14:textId="77777777" w:rsidR="008D68C9" w:rsidRDefault="00000000">
            <w:pPr>
              <w:ind w:firstLineChars="150" w:firstLine="360"/>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（2020年完工项目）</w:t>
            </w:r>
          </w:p>
        </w:tc>
        <w:tc>
          <w:tcPr>
            <w:tcW w:w="988" w:type="dxa"/>
            <w:tcBorders>
              <w:top w:val="nil"/>
              <w:left w:val="single" w:sz="4" w:space="0" w:color="auto"/>
              <w:bottom w:val="single" w:sz="4" w:space="0" w:color="000000"/>
              <w:right w:val="single" w:sz="4" w:space="0" w:color="auto"/>
            </w:tcBorders>
            <w:vAlign w:val="center"/>
          </w:tcPr>
          <w:p w14:paraId="0CF8B0F7"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批复规模(</w:t>
            </w:r>
            <w:r>
              <w:rPr>
                <w:rFonts w:ascii="宋体" w:hAnsi="宋体" w:cs="宋体" w:hint="eastAsia"/>
                <w:color w:val="000000"/>
                <w:kern w:val="0"/>
                <w:sz w:val="24"/>
                <w:szCs w:val="24"/>
              </w:rPr>
              <w:t>㎡</w:t>
            </w:r>
            <w:r>
              <w:rPr>
                <w:rFonts w:ascii="仿宋_GB2312" w:eastAsia="仿宋_GB2312" w:hAnsi="宋体" w:cs="宋体" w:hint="eastAsia"/>
                <w:color w:val="000000"/>
                <w:kern w:val="0"/>
                <w:sz w:val="24"/>
                <w:szCs w:val="24"/>
              </w:rPr>
              <w:t>)</w:t>
            </w:r>
          </w:p>
        </w:tc>
        <w:tc>
          <w:tcPr>
            <w:tcW w:w="936" w:type="dxa"/>
            <w:tcBorders>
              <w:top w:val="nil"/>
              <w:left w:val="nil"/>
              <w:bottom w:val="single" w:sz="4" w:space="0" w:color="auto"/>
              <w:right w:val="single" w:sz="4" w:space="0" w:color="auto"/>
            </w:tcBorders>
            <w:vAlign w:val="center"/>
          </w:tcPr>
          <w:p w14:paraId="3BA9A555"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实际规模（</w:t>
            </w:r>
            <w:r>
              <w:rPr>
                <w:rFonts w:ascii="宋体" w:hAnsi="宋体" w:cs="宋体" w:hint="eastAsia"/>
                <w:color w:val="000000"/>
                <w:kern w:val="0"/>
                <w:sz w:val="24"/>
                <w:szCs w:val="24"/>
              </w:rPr>
              <w:t>㎡</w:t>
            </w:r>
            <w:r>
              <w:rPr>
                <w:rFonts w:ascii="仿宋_GB2312" w:eastAsia="仿宋_GB2312" w:hAnsi="宋体" w:cs="宋体" w:hint="eastAsia"/>
                <w:color w:val="000000"/>
                <w:kern w:val="0"/>
                <w:sz w:val="24"/>
                <w:szCs w:val="24"/>
              </w:rPr>
              <w:t>）</w:t>
            </w:r>
          </w:p>
        </w:tc>
        <w:tc>
          <w:tcPr>
            <w:tcW w:w="941" w:type="dxa"/>
            <w:tcBorders>
              <w:top w:val="nil"/>
              <w:left w:val="single" w:sz="4" w:space="0" w:color="auto"/>
              <w:bottom w:val="single" w:sz="4" w:space="0" w:color="auto"/>
              <w:right w:val="single" w:sz="4" w:space="0" w:color="auto"/>
            </w:tcBorders>
            <w:vAlign w:val="center"/>
          </w:tcPr>
          <w:p w14:paraId="76389128"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规模控制率</w:t>
            </w:r>
          </w:p>
        </w:tc>
        <w:tc>
          <w:tcPr>
            <w:tcW w:w="1275" w:type="dxa"/>
            <w:tcBorders>
              <w:top w:val="nil"/>
              <w:left w:val="single" w:sz="4" w:space="0" w:color="auto"/>
              <w:bottom w:val="single" w:sz="4" w:space="0" w:color="auto"/>
              <w:right w:val="single" w:sz="4" w:space="0" w:color="auto"/>
            </w:tcBorders>
            <w:vAlign w:val="center"/>
          </w:tcPr>
          <w:p w14:paraId="73259F38"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预算投资（万元）</w:t>
            </w:r>
          </w:p>
        </w:tc>
        <w:tc>
          <w:tcPr>
            <w:tcW w:w="1560" w:type="dxa"/>
            <w:tcBorders>
              <w:top w:val="nil"/>
              <w:left w:val="single" w:sz="4" w:space="0" w:color="auto"/>
              <w:bottom w:val="single" w:sz="4" w:space="0" w:color="auto"/>
              <w:right w:val="single" w:sz="4" w:space="0" w:color="auto"/>
            </w:tcBorders>
            <w:vAlign w:val="center"/>
          </w:tcPr>
          <w:p w14:paraId="055A1292"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实际投资</w:t>
            </w:r>
          </w:p>
          <w:p w14:paraId="6B871BD1"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（万元）</w:t>
            </w:r>
          </w:p>
        </w:tc>
        <w:tc>
          <w:tcPr>
            <w:tcW w:w="1586" w:type="dxa"/>
            <w:tcBorders>
              <w:top w:val="nil"/>
              <w:left w:val="single" w:sz="4" w:space="0" w:color="auto"/>
              <w:bottom w:val="single" w:sz="4" w:space="0" w:color="auto"/>
              <w:right w:val="single" w:sz="4" w:space="0" w:color="auto"/>
            </w:tcBorders>
            <w:vAlign w:val="center"/>
          </w:tcPr>
          <w:p w14:paraId="39430448" w14:textId="77777777" w:rsidR="008D68C9" w:rsidRDefault="00000000">
            <w:pPr>
              <w:widowControl/>
              <w:ind w:leftChars="-99" w:left="-66" w:hangingChars="59" w:hanging="142"/>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投资概算</w:t>
            </w:r>
          </w:p>
          <w:p w14:paraId="5B081299" w14:textId="77777777" w:rsidR="008D68C9" w:rsidRDefault="00000000">
            <w:pPr>
              <w:widowControl/>
              <w:ind w:leftChars="-99" w:left="-66" w:hangingChars="59" w:hanging="142"/>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控制率</w:t>
            </w:r>
          </w:p>
        </w:tc>
      </w:tr>
      <w:tr w:rsidR="008D68C9" w14:paraId="27B4F1F6" w14:textId="77777777">
        <w:trPr>
          <w:trHeight w:val="510"/>
          <w:jc w:val="center"/>
        </w:trPr>
        <w:tc>
          <w:tcPr>
            <w:tcW w:w="3317" w:type="dxa"/>
            <w:tcBorders>
              <w:top w:val="nil"/>
              <w:left w:val="single" w:sz="4" w:space="0" w:color="auto"/>
              <w:bottom w:val="single" w:sz="4" w:space="0" w:color="auto"/>
              <w:right w:val="single" w:sz="4" w:space="0" w:color="auto"/>
            </w:tcBorders>
            <w:vAlign w:val="center"/>
          </w:tcPr>
          <w:p w14:paraId="2759DEF6" w14:textId="77777777" w:rsidR="008D68C9" w:rsidRDefault="00000000">
            <w:pPr>
              <w:widowControl/>
              <w:jc w:val="left"/>
              <w:rPr>
                <w:rFonts w:ascii="宋体" w:hAnsi="宋体" w:cs="宋体"/>
                <w:color w:val="000000"/>
                <w:kern w:val="0"/>
                <w:sz w:val="22"/>
                <w:szCs w:val="22"/>
              </w:rPr>
            </w:pPr>
            <w:r>
              <w:rPr>
                <w:rFonts w:ascii="宋体" w:hAnsi="宋体" w:cs="宋体" w:hint="eastAsia"/>
                <w:color w:val="000000"/>
                <w:kern w:val="0"/>
                <w:sz w:val="22"/>
                <w:szCs w:val="22"/>
              </w:rPr>
              <w:t xml:space="preserve">　</w:t>
            </w:r>
          </w:p>
        </w:tc>
        <w:tc>
          <w:tcPr>
            <w:tcW w:w="988" w:type="dxa"/>
            <w:tcBorders>
              <w:top w:val="nil"/>
              <w:left w:val="nil"/>
              <w:bottom w:val="single" w:sz="4" w:space="0" w:color="auto"/>
              <w:right w:val="single" w:sz="4" w:space="0" w:color="auto"/>
            </w:tcBorders>
            <w:vAlign w:val="center"/>
          </w:tcPr>
          <w:p w14:paraId="3DCB5CFB"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0　</w:t>
            </w:r>
          </w:p>
        </w:tc>
        <w:tc>
          <w:tcPr>
            <w:tcW w:w="936" w:type="dxa"/>
            <w:tcBorders>
              <w:top w:val="nil"/>
              <w:left w:val="nil"/>
              <w:bottom w:val="single" w:sz="4" w:space="0" w:color="auto"/>
              <w:right w:val="single" w:sz="4" w:space="0" w:color="auto"/>
            </w:tcBorders>
            <w:vAlign w:val="center"/>
          </w:tcPr>
          <w:p w14:paraId="3DBAEC50"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0</w:t>
            </w:r>
          </w:p>
        </w:tc>
        <w:tc>
          <w:tcPr>
            <w:tcW w:w="941" w:type="dxa"/>
            <w:tcBorders>
              <w:top w:val="nil"/>
              <w:left w:val="nil"/>
              <w:bottom w:val="single" w:sz="4" w:space="0" w:color="auto"/>
              <w:right w:val="single" w:sz="4" w:space="0" w:color="auto"/>
            </w:tcBorders>
            <w:vAlign w:val="center"/>
          </w:tcPr>
          <w:p w14:paraId="47089ED1"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0</w:t>
            </w:r>
          </w:p>
        </w:tc>
        <w:tc>
          <w:tcPr>
            <w:tcW w:w="1275" w:type="dxa"/>
            <w:tcBorders>
              <w:top w:val="nil"/>
              <w:left w:val="nil"/>
              <w:bottom w:val="single" w:sz="4" w:space="0" w:color="auto"/>
              <w:right w:val="single" w:sz="4" w:space="0" w:color="auto"/>
            </w:tcBorders>
            <w:vAlign w:val="center"/>
          </w:tcPr>
          <w:p w14:paraId="30C18507"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0</w:t>
            </w:r>
          </w:p>
        </w:tc>
        <w:tc>
          <w:tcPr>
            <w:tcW w:w="1560" w:type="dxa"/>
            <w:tcBorders>
              <w:top w:val="nil"/>
              <w:left w:val="nil"/>
              <w:bottom w:val="single" w:sz="4" w:space="0" w:color="auto"/>
              <w:right w:val="single" w:sz="4" w:space="0" w:color="auto"/>
            </w:tcBorders>
            <w:vAlign w:val="center"/>
          </w:tcPr>
          <w:p w14:paraId="0B1933DD"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0</w:t>
            </w:r>
          </w:p>
        </w:tc>
        <w:tc>
          <w:tcPr>
            <w:tcW w:w="1586" w:type="dxa"/>
            <w:tcBorders>
              <w:top w:val="nil"/>
              <w:left w:val="nil"/>
              <w:bottom w:val="single" w:sz="4" w:space="0" w:color="auto"/>
              <w:right w:val="single" w:sz="4" w:space="0" w:color="auto"/>
            </w:tcBorders>
            <w:vAlign w:val="center"/>
          </w:tcPr>
          <w:p w14:paraId="60E7625A" w14:textId="77777777" w:rsidR="008D68C9" w:rsidRDefault="00000000">
            <w:pPr>
              <w:widowControl/>
              <w:jc w:val="left"/>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100%</w:t>
            </w:r>
          </w:p>
        </w:tc>
      </w:tr>
      <w:tr w:rsidR="008D68C9" w14:paraId="6435EA20" w14:textId="77777777">
        <w:trPr>
          <w:trHeight w:val="1767"/>
          <w:jc w:val="center"/>
        </w:trPr>
        <w:tc>
          <w:tcPr>
            <w:tcW w:w="3317" w:type="dxa"/>
            <w:tcBorders>
              <w:top w:val="nil"/>
              <w:left w:val="single" w:sz="4" w:space="0" w:color="auto"/>
              <w:bottom w:val="single" w:sz="4" w:space="0" w:color="auto"/>
              <w:right w:val="single" w:sz="4" w:space="0" w:color="auto"/>
            </w:tcBorders>
            <w:vAlign w:val="center"/>
          </w:tcPr>
          <w:p w14:paraId="63B326FB"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lastRenderedPageBreak/>
              <w:t>厉行节约保障措施</w:t>
            </w:r>
          </w:p>
        </w:tc>
        <w:tc>
          <w:tcPr>
            <w:tcW w:w="7286" w:type="dxa"/>
            <w:gridSpan w:val="6"/>
            <w:tcBorders>
              <w:top w:val="single" w:sz="4" w:space="0" w:color="auto"/>
              <w:left w:val="nil"/>
              <w:bottom w:val="single" w:sz="4" w:space="0" w:color="auto"/>
              <w:right w:val="single" w:sz="4" w:space="0" w:color="auto"/>
            </w:tcBorders>
            <w:vAlign w:val="center"/>
          </w:tcPr>
          <w:p w14:paraId="6AEB695C" w14:textId="77777777" w:rsidR="008D68C9" w:rsidRDefault="00000000">
            <w:pPr>
              <w:widowControl/>
              <w:jc w:val="center"/>
              <w:rPr>
                <w:rFonts w:ascii="仿宋_GB2312" w:eastAsia="仿宋_GB2312" w:hAnsi="宋体" w:cs="宋体"/>
                <w:color w:val="000000"/>
                <w:kern w:val="0"/>
                <w:sz w:val="24"/>
                <w:szCs w:val="24"/>
              </w:rPr>
            </w:pPr>
            <w:r>
              <w:rPr>
                <w:rFonts w:ascii="仿宋_GB2312" w:eastAsia="仿宋_GB2312" w:hAnsi="宋体" w:cs="宋体" w:hint="eastAsia"/>
                <w:color w:val="000000"/>
                <w:kern w:val="0"/>
                <w:sz w:val="24"/>
                <w:szCs w:val="24"/>
              </w:rPr>
              <w:t xml:space="preserve">　财务管理、国内差旅、因公出国（境）、公务接待、公务用车、会议、培训活动、办公用品、办公用房、资源节约等方面都制定了相关制度，各类支出按规定范围标准列支，重视“三公”经费及项目支出管理，规范管理财政资金。</w:t>
            </w:r>
          </w:p>
        </w:tc>
      </w:tr>
      <w:tr w:rsidR="008D68C9" w14:paraId="263B16EE" w14:textId="77777777">
        <w:trPr>
          <w:trHeight w:val="312"/>
          <w:jc w:val="center"/>
        </w:trPr>
        <w:tc>
          <w:tcPr>
            <w:tcW w:w="10603" w:type="dxa"/>
            <w:gridSpan w:val="7"/>
            <w:tcBorders>
              <w:top w:val="single" w:sz="4" w:space="0" w:color="auto"/>
              <w:left w:val="nil"/>
              <w:bottom w:val="nil"/>
              <w:right w:val="nil"/>
            </w:tcBorders>
            <w:vAlign w:val="center"/>
          </w:tcPr>
          <w:p w14:paraId="0363C9A3" w14:textId="77777777" w:rsidR="008D68C9" w:rsidRDefault="008D68C9">
            <w:pPr>
              <w:widowControl/>
              <w:jc w:val="left"/>
              <w:rPr>
                <w:rFonts w:ascii="仿宋_GB2312" w:eastAsia="仿宋_GB2312" w:hAnsi="宋体" w:cs="宋体"/>
                <w:color w:val="000000"/>
                <w:kern w:val="0"/>
                <w:sz w:val="22"/>
                <w:szCs w:val="22"/>
              </w:rPr>
            </w:pPr>
          </w:p>
        </w:tc>
      </w:tr>
    </w:tbl>
    <w:p w14:paraId="43EB8273" w14:textId="77777777" w:rsidR="008D68C9" w:rsidRDefault="008D68C9">
      <w:pPr>
        <w:spacing w:line="640" w:lineRule="exact"/>
        <w:ind w:firstLineChars="200" w:firstLine="640"/>
        <w:rPr>
          <w:rFonts w:ascii="黑体" w:eastAsia="黑体" w:hAnsi="黑体"/>
          <w:sz w:val="32"/>
          <w:szCs w:val="32"/>
        </w:rPr>
      </w:pPr>
    </w:p>
    <w:sectPr w:rsidR="008D68C9">
      <w:headerReference w:type="even" r:id="rId8"/>
      <w:headerReference w:type="default" r:id="rId9"/>
      <w:footerReference w:type="even" r:id="rId10"/>
      <w:footerReference w:type="default" r:id="rId11"/>
      <w:headerReference w:type="first" r:id="rId12"/>
      <w:footerReference w:type="first" r:id="rId13"/>
      <w:pgSz w:w="11906" w:h="16838"/>
      <w:pgMar w:top="1985" w:right="1531" w:bottom="1474" w:left="1531" w:header="851" w:footer="1361"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5449AF" w14:textId="77777777" w:rsidR="00D7257B" w:rsidRDefault="00D7257B">
      <w:r>
        <w:separator/>
      </w:r>
    </w:p>
  </w:endnote>
  <w:endnote w:type="continuationSeparator" w:id="0">
    <w:p w14:paraId="1E8EBC89" w14:textId="77777777" w:rsidR="00D7257B" w:rsidRDefault="00D72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方正小标宋简体">
    <w:altName w:val="微软雅黑"/>
    <w:charset w:val="86"/>
    <w:family w:val="script"/>
    <w:pitch w:val="default"/>
    <w:sig w:usb0="00000000"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仿宋_GB2312">
    <w:altName w:val="仿宋"/>
    <w:charset w:val="86"/>
    <w:family w:val="modern"/>
    <w:pitch w:val="default"/>
    <w:sig w:usb0="00000000" w:usb1="080E0000" w:usb2="00000000" w:usb3="00000000" w:csb0="00040000" w:csb1="00000000"/>
  </w:font>
  <w:font w:name="楷体_GB2312">
    <w:altName w:val="楷体"/>
    <w:charset w:val="86"/>
    <w:family w:val="auto"/>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19C15" w14:textId="77777777" w:rsidR="008D68C9" w:rsidRDefault="00000000">
    <w:pPr>
      <w:pStyle w:val="a3"/>
      <w:framePr w:wrap="around" w:vAnchor="text" w:hAnchor="margin" w:xAlign="outside" w:y="1"/>
      <w:rPr>
        <w:rStyle w:val="a8"/>
      </w:rPr>
    </w:pPr>
    <w:r>
      <w:rPr>
        <w:rStyle w:val="a8"/>
      </w:rPr>
      <w:fldChar w:fldCharType="begin"/>
    </w:r>
    <w:r>
      <w:rPr>
        <w:rStyle w:val="a8"/>
      </w:rPr>
      <w:instrText xml:space="preserve">PAGE  </w:instrText>
    </w:r>
    <w:r>
      <w:rPr>
        <w:rStyle w:val="a8"/>
      </w:rPr>
      <w:fldChar w:fldCharType="end"/>
    </w:r>
  </w:p>
  <w:p w14:paraId="389DAE77" w14:textId="77777777" w:rsidR="008D68C9" w:rsidRDefault="008D68C9">
    <w:pPr>
      <w:pStyle w:val="a3"/>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051B8" w14:textId="77777777" w:rsidR="008D68C9" w:rsidRDefault="00000000">
    <w:pPr>
      <w:pStyle w:val="a3"/>
      <w:framePr w:w="1090" w:wrap="around" w:vAnchor="text" w:hAnchor="page" w:x="9272" w:y="4"/>
      <w:rPr>
        <w:rStyle w:val="a8"/>
        <w:rFonts w:ascii="宋体"/>
        <w:sz w:val="28"/>
        <w:szCs w:val="28"/>
      </w:rPr>
    </w:pPr>
    <w:r>
      <w:rPr>
        <w:rStyle w:val="a8"/>
        <w:rFonts w:ascii="宋体" w:hAnsi="宋体"/>
        <w:sz w:val="28"/>
        <w:szCs w:val="28"/>
      </w:rPr>
      <w:t xml:space="preserve">— </w:t>
    </w:r>
    <w:r>
      <w:rPr>
        <w:rStyle w:val="a8"/>
        <w:rFonts w:ascii="宋体" w:hAnsi="宋体"/>
        <w:sz w:val="28"/>
        <w:szCs w:val="28"/>
      </w:rPr>
      <w:fldChar w:fldCharType="begin"/>
    </w:r>
    <w:r>
      <w:rPr>
        <w:rStyle w:val="a8"/>
        <w:rFonts w:ascii="宋体" w:hAnsi="宋体"/>
        <w:sz w:val="28"/>
        <w:szCs w:val="28"/>
      </w:rPr>
      <w:instrText xml:space="preserve">PAGE  </w:instrText>
    </w:r>
    <w:r>
      <w:rPr>
        <w:rStyle w:val="a8"/>
        <w:rFonts w:ascii="宋体" w:hAnsi="宋体"/>
        <w:sz w:val="28"/>
        <w:szCs w:val="28"/>
      </w:rPr>
      <w:fldChar w:fldCharType="separate"/>
    </w:r>
    <w:r>
      <w:rPr>
        <w:rStyle w:val="a8"/>
        <w:rFonts w:ascii="宋体" w:hAnsi="宋体"/>
        <w:sz w:val="28"/>
        <w:szCs w:val="28"/>
      </w:rPr>
      <w:t>1</w:t>
    </w:r>
    <w:r>
      <w:rPr>
        <w:rStyle w:val="a8"/>
        <w:rFonts w:ascii="宋体" w:hAnsi="宋体"/>
        <w:sz w:val="28"/>
        <w:szCs w:val="28"/>
      </w:rPr>
      <w:fldChar w:fldCharType="end"/>
    </w:r>
    <w:r>
      <w:rPr>
        <w:rStyle w:val="a8"/>
        <w:rFonts w:ascii="宋体" w:hAnsi="宋体"/>
        <w:sz w:val="28"/>
        <w:szCs w:val="28"/>
      </w:rPr>
      <w:t xml:space="preserve"> —</w:t>
    </w:r>
  </w:p>
  <w:p w14:paraId="170BDD0F" w14:textId="77777777" w:rsidR="008D68C9" w:rsidRDefault="008D68C9">
    <w:pPr>
      <w:pStyle w:val="a3"/>
      <w:ind w:right="360"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C4B2C" w14:textId="77777777" w:rsidR="008D68C9" w:rsidRDefault="008D68C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F7C1C3" w14:textId="77777777" w:rsidR="00D7257B" w:rsidRDefault="00D7257B">
      <w:r>
        <w:separator/>
      </w:r>
    </w:p>
  </w:footnote>
  <w:footnote w:type="continuationSeparator" w:id="0">
    <w:p w14:paraId="0EC99551" w14:textId="77777777" w:rsidR="00D7257B" w:rsidRDefault="00D72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14539" w14:textId="77777777" w:rsidR="008D68C9" w:rsidRDefault="008D68C9">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0B231" w14:textId="77777777" w:rsidR="008D68C9" w:rsidRDefault="008D68C9">
    <w:pPr>
      <w:pStyle w:val="a5"/>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CA475B" w14:textId="77777777" w:rsidR="008D68C9" w:rsidRDefault="008D68C9">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1D9F24A"/>
    <w:multiLevelType w:val="singleLevel"/>
    <w:tmpl w:val="81D9F24A"/>
    <w:lvl w:ilvl="0">
      <w:start w:val="3"/>
      <w:numFmt w:val="chineseCounting"/>
      <w:suff w:val="nothing"/>
      <w:lvlText w:val="%1、"/>
      <w:lvlJc w:val="left"/>
      <w:rPr>
        <w:rFonts w:hint="eastAsia"/>
      </w:rPr>
    </w:lvl>
  </w:abstractNum>
  <w:abstractNum w:abstractNumId="1" w15:restartNumberingAfterBreak="0">
    <w:nsid w:val="0B338E7B"/>
    <w:multiLevelType w:val="singleLevel"/>
    <w:tmpl w:val="0B338E7B"/>
    <w:lvl w:ilvl="0">
      <w:start w:val="2"/>
      <w:numFmt w:val="chineseCounting"/>
      <w:suff w:val="nothing"/>
      <w:lvlText w:val="%1、"/>
      <w:lvlJc w:val="left"/>
      <w:rPr>
        <w:rFonts w:hint="eastAsia"/>
      </w:rPr>
    </w:lvl>
  </w:abstractNum>
  <w:abstractNum w:abstractNumId="2" w15:restartNumberingAfterBreak="0">
    <w:nsid w:val="28B51F88"/>
    <w:multiLevelType w:val="singleLevel"/>
    <w:tmpl w:val="28B51F88"/>
    <w:lvl w:ilvl="0">
      <w:start w:val="2"/>
      <w:numFmt w:val="chineseCounting"/>
      <w:suff w:val="nothing"/>
      <w:lvlText w:val="（%1）"/>
      <w:lvlJc w:val="left"/>
      <w:rPr>
        <w:rFonts w:hint="eastAsia"/>
      </w:rPr>
    </w:lvl>
  </w:abstractNum>
  <w:num w:numId="1" w16cid:durableId="1191838137">
    <w:abstractNumId w:val="1"/>
  </w:num>
  <w:num w:numId="2" w16cid:durableId="2075618978">
    <w:abstractNumId w:val="2"/>
  </w:num>
  <w:num w:numId="3" w16cid:durableId="3307181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1179"/>
    <w:rsid w:val="00003422"/>
    <w:rsid w:val="00006100"/>
    <w:rsid w:val="000205C5"/>
    <w:rsid w:val="0002164A"/>
    <w:rsid w:val="00041D7C"/>
    <w:rsid w:val="0010365B"/>
    <w:rsid w:val="0011061D"/>
    <w:rsid w:val="001452A0"/>
    <w:rsid w:val="001933BC"/>
    <w:rsid w:val="001A081C"/>
    <w:rsid w:val="001A4714"/>
    <w:rsid w:val="001A6082"/>
    <w:rsid w:val="001C42AC"/>
    <w:rsid w:val="001C6422"/>
    <w:rsid w:val="001E4A3A"/>
    <w:rsid w:val="001F37F3"/>
    <w:rsid w:val="001F68E2"/>
    <w:rsid w:val="0021695C"/>
    <w:rsid w:val="00230211"/>
    <w:rsid w:val="00237EBF"/>
    <w:rsid w:val="002747BD"/>
    <w:rsid w:val="002773E8"/>
    <w:rsid w:val="00287AB1"/>
    <w:rsid w:val="002A1A1A"/>
    <w:rsid w:val="002A5ED0"/>
    <w:rsid w:val="002B6BB1"/>
    <w:rsid w:val="002D4A12"/>
    <w:rsid w:val="002D5A3B"/>
    <w:rsid w:val="002E755A"/>
    <w:rsid w:val="002F1FC6"/>
    <w:rsid w:val="002F6820"/>
    <w:rsid w:val="0031604E"/>
    <w:rsid w:val="003478D6"/>
    <w:rsid w:val="00351E43"/>
    <w:rsid w:val="00354524"/>
    <w:rsid w:val="00364944"/>
    <w:rsid w:val="003A40FB"/>
    <w:rsid w:val="003D0C83"/>
    <w:rsid w:val="003D301D"/>
    <w:rsid w:val="003E4A46"/>
    <w:rsid w:val="00400210"/>
    <w:rsid w:val="00400FBD"/>
    <w:rsid w:val="00434B02"/>
    <w:rsid w:val="00440024"/>
    <w:rsid w:val="0045554A"/>
    <w:rsid w:val="00460B98"/>
    <w:rsid w:val="00464B5E"/>
    <w:rsid w:val="004B0B43"/>
    <w:rsid w:val="004B329C"/>
    <w:rsid w:val="004D064C"/>
    <w:rsid w:val="004E4D99"/>
    <w:rsid w:val="004F1270"/>
    <w:rsid w:val="004F2633"/>
    <w:rsid w:val="00502044"/>
    <w:rsid w:val="00511DED"/>
    <w:rsid w:val="00525381"/>
    <w:rsid w:val="00525BBA"/>
    <w:rsid w:val="005323E5"/>
    <w:rsid w:val="00540FFE"/>
    <w:rsid w:val="00546953"/>
    <w:rsid w:val="0057064B"/>
    <w:rsid w:val="00580CC1"/>
    <w:rsid w:val="00592660"/>
    <w:rsid w:val="005937C7"/>
    <w:rsid w:val="005A2B5A"/>
    <w:rsid w:val="005C5172"/>
    <w:rsid w:val="005F12C9"/>
    <w:rsid w:val="005F210D"/>
    <w:rsid w:val="005F4EA8"/>
    <w:rsid w:val="00604725"/>
    <w:rsid w:val="00651F63"/>
    <w:rsid w:val="006567D3"/>
    <w:rsid w:val="00683D17"/>
    <w:rsid w:val="006A4719"/>
    <w:rsid w:val="006A5FBC"/>
    <w:rsid w:val="00734CC0"/>
    <w:rsid w:val="007A19A4"/>
    <w:rsid w:val="007A5B0E"/>
    <w:rsid w:val="007C0087"/>
    <w:rsid w:val="007D27C0"/>
    <w:rsid w:val="007F13B2"/>
    <w:rsid w:val="007F183D"/>
    <w:rsid w:val="007F588E"/>
    <w:rsid w:val="008056FF"/>
    <w:rsid w:val="00825D32"/>
    <w:rsid w:val="00842365"/>
    <w:rsid w:val="00847809"/>
    <w:rsid w:val="008538EB"/>
    <w:rsid w:val="00860A92"/>
    <w:rsid w:val="0089302C"/>
    <w:rsid w:val="008A114B"/>
    <w:rsid w:val="008A754D"/>
    <w:rsid w:val="008C76DC"/>
    <w:rsid w:val="008D68C9"/>
    <w:rsid w:val="00907890"/>
    <w:rsid w:val="00910C68"/>
    <w:rsid w:val="009119DE"/>
    <w:rsid w:val="009637D8"/>
    <w:rsid w:val="00964D1A"/>
    <w:rsid w:val="00991C9D"/>
    <w:rsid w:val="009B459C"/>
    <w:rsid w:val="009D5429"/>
    <w:rsid w:val="009E28A5"/>
    <w:rsid w:val="009E59EB"/>
    <w:rsid w:val="00A028EA"/>
    <w:rsid w:val="00A1411B"/>
    <w:rsid w:val="00A5275E"/>
    <w:rsid w:val="00A677DD"/>
    <w:rsid w:val="00A77F1E"/>
    <w:rsid w:val="00A949E5"/>
    <w:rsid w:val="00A94ACF"/>
    <w:rsid w:val="00AA689A"/>
    <w:rsid w:val="00AB1A9B"/>
    <w:rsid w:val="00AB7F24"/>
    <w:rsid w:val="00AD4964"/>
    <w:rsid w:val="00AF3F6D"/>
    <w:rsid w:val="00B070D6"/>
    <w:rsid w:val="00B15616"/>
    <w:rsid w:val="00B25423"/>
    <w:rsid w:val="00B46E50"/>
    <w:rsid w:val="00B54616"/>
    <w:rsid w:val="00B55987"/>
    <w:rsid w:val="00B62355"/>
    <w:rsid w:val="00B65308"/>
    <w:rsid w:val="00B7091D"/>
    <w:rsid w:val="00B7583E"/>
    <w:rsid w:val="00BB6428"/>
    <w:rsid w:val="00BD3D53"/>
    <w:rsid w:val="00BE0BD7"/>
    <w:rsid w:val="00C14E78"/>
    <w:rsid w:val="00C164C7"/>
    <w:rsid w:val="00C515A8"/>
    <w:rsid w:val="00C63D55"/>
    <w:rsid w:val="00C64EA2"/>
    <w:rsid w:val="00C73378"/>
    <w:rsid w:val="00CA18F8"/>
    <w:rsid w:val="00CE686E"/>
    <w:rsid w:val="00CE70BF"/>
    <w:rsid w:val="00D04839"/>
    <w:rsid w:val="00D150F5"/>
    <w:rsid w:val="00D33D48"/>
    <w:rsid w:val="00D5538B"/>
    <w:rsid w:val="00D6076C"/>
    <w:rsid w:val="00D7257B"/>
    <w:rsid w:val="00D908F3"/>
    <w:rsid w:val="00DC7A3F"/>
    <w:rsid w:val="00DE4FAF"/>
    <w:rsid w:val="00DF7E7E"/>
    <w:rsid w:val="00E04401"/>
    <w:rsid w:val="00E16E01"/>
    <w:rsid w:val="00E351F9"/>
    <w:rsid w:val="00E638D4"/>
    <w:rsid w:val="00E7300B"/>
    <w:rsid w:val="00EA09D5"/>
    <w:rsid w:val="00EA27A6"/>
    <w:rsid w:val="00EA3420"/>
    <w:rsid w:val="00EB7C5D"/>
    <w:rsid w:val="00ED090F"/>
    <w:rsid w:val="00EF0C47"/>
    <w:rsid w:val="00F20318"/>
    <w:rsid w:val="00F22864"/>
    <w:rsid w:val="00F255B3"/>
    <w:rsid w:val="00F32E5F"/>
    <w:rsid w:val="00F87851"/>
    <w:rsid w:val="00F91029"/>
    <w:rsid w:val="00FB5505"/>
    <w:rsid w:val="00FC455D"/>
    <w:rsid w:val="00FE7F2F"/>
    <w:rsid w:val="00FF1179"/>
    <w:rsid w:val="00FF1233"/>
    <w:rsid w:val="013527CB"/>
    <w:rsid w:val="053D0875"/>
    <w:rsid w:val="077A254E"/>
    <w:rsid w:val="08617771"/>
    <w:rsid w:val="09134591"/>
    <w:rsid w:val="0E97661D"/>
    <w:rsid w:val="0F497DC7"/>
    <w:rsid w:val="0F7F4EE7"/>
    <w:rsid w:val="10077095"/>
    <w:rsid w:val="102349EC"/>
    <w:rsid w:val="107440C8"/>
    <w:rsid w:val="1A793FD3"/>
    <w:rsid w:val="1BD80D6A"/>
    <w:rsid w:val="1DDB3E64"/>
    <w:rsid w:val="228A1735"/>
    <w:rsid w:val="235522E9"/>
    <w:rsid w:val="23E76100"/>
    <w:rsid w:val="24AF13AA"/>
    <w:rsid w:val="26AC0121"/>
    <w:rsid w:val="27CA3190"/>
    <w:rsid w:val="2C645BB6"/>
    <w:rsid w:val="2C7F07CF"/>
    <w:rsid w:val="2D6238E6"/>
    <w:rsid w:val="31B55F2F"/>
    <w:rsid w:val="34AE61B6"/>
    <w:rsid w:val="34F77514"/>
    <w:rsid w:val="351F420B"/>
    <w:rsid w:val="39B91ADB"/>
    <w:rsid w:val="3A9B0643"/>
    <w:rsid w:val="423A6CE5"/>
    <w:rsid w:val="44F55A4E"/>
    <w:rsid w:val="47DA1CA5"/>
    <w:rsid w:val="49364519"/>
    <w:rsid w:val="4A7E6C74"/>
    <w:rsid w:val="4D444809"/>
    <w:rsid w:val="4EC056E2"/>
    <w:rsid w:val="561B4C0C"/>
    <w:rsid w:val="5ACB4F04"/>
    <w:rsid w:val="5B4E21F2"/>
    <w:rsid w:val="5BA4064D"/>
    <w:rsid w:val="5DAA3AE6"/>
    <w:rsid w:val="5DE03353"/>
    <w:rsid w:val="5F0038B8"/>
    <w:rsid w:val="5F054F31"/>
    <w:rsid w:val="6020478F"/>
    <w:rsid w:val="650C31CB"/>
    <w:rsid w:val="6B6C3A47"/>
    <w:rsid w:val="6B734316"/>
    <w:rsid w:val="6CA942AE"/>
    <w:rsid w:val="70661BE6"/>
    <w:rsid w:val="72F7551E"/>
    <w:rsid w:val="737711B4"/>
    <w:rsid w:val="75EB2CA8"/>
    <w:rsid w:val="75F52D78"/>
    <w:rsid w:val="761967C2"/>
    <w:rsid w:val="76885A5B"/>
    <w:rsid w:val="778628C5"/>
    <w:rsid w:val="78911165"/>
    <w:rsid w:val="7A8F12C9"/>
    <w:rsid w:val="7B946E53"/>
    <w:rsid w:val="7BF47BF5"/>
    <w:rsid w:val="7C5942E3"/>
    <w:rsid w:val="7EDF6C95"/>
    <w:rsid w:val="7FDA68B5"/>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55B863"/>
  <w15:docId w15:val="{021B8563-4E0C-4A49-9369-6572587D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locked="1" w:qFormat="1"/>
    <w:lsdException w:name="heading 2" w:locked="1" w:semiHidden="1" w:uiPriority="0" w:unhideWhenUsed="1" w:qFormat="1"/>
    <w:lsdException w:name="heading 3" w:qFormat="1"/>
    <w:lsdException w:name="heading 4" w:lock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qFormat="1"/>
    <w:lsdException w:name="footer" w:semiHidden="1"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4"/>
    <w:qFormat/>
    <w:pPr>
      <w:widowControl w:val="0"/>
      <w:jc w:val="both"/>
    </w:pPr>
    <w:rPr>
      <w:kern w:val="2"/>
      <w:sz w:val="21"/>
    </w:rPr>
  </w:style>
  <w:style w:type="paragraph" w:styleId="1">
    <w:name w:val="heading 1"/>
    <w:basedOn w:val="a"/>
    <w:next w:val="a"/>
    <w:uiPriority w:val="99"/>
    <w:qFormat/>
    <w:locked/>
    <w:pPr>
      <w:jc w:val="left"/>
      <w:outlineLvl w:val="0"/>
    </w:pPr>
    <w:rPr>
      <w:b/>
      <w:bCs/>
      <w:kern w:val="44"/>
      <w:sz w:val="44"/>
      <w:szCs w:val="44"/>
    </w:rPr>
  </w:style>
  <w:style w:type="paragraph" w:styleId="3">
    <w:name w:val="heading 3"/>
    <w:basedOn w:val="a"/>
    <w:next w:val="a"/>
    <w:link w:val="30"/>
    <w:uiPriority w:val="99"/>
    <w:qFormat/>
    <w:pPr>
      <w:keepNext/>
      <w:keepLines/>
      <w:spacing w:before="260" w:after="260" w:line="415" w:lineRule="auto"/>
      <w:outlineLvl w:val="2"/>
    </w:pPr>
    <w:rPr>
      <w:rFonts w:ascii="Calibri" w:hAnsi="Calibri" w:cs="Calibri"/>
      <w:b/>
      <w:bCs/>
      <w:sz w:val="32"/>
      <w:szCs w:val="32"/>
    </w:rPr>
  </w:style>
  <w:style w:type="paragraph" w:styleId="4">
    <w:name w:val="heading 4"/>
    <w:basedOn w:val="a"/>
    <w:next w:val="a"/>
    <w:uiPriority w:val="99"/>
    <w:qFormat/>
    <w:locked/>
    <w:pPr>
      <w:keepNext/>
      <w:keepLines/>
      <w:spacing w:line="372" w:lineRule="auto"/>
      <w:outlineLvl w:val="3"/>
    </w:pPr>
    <w:rPr>
      <w:rFonts w:ascii="Arial" w:eastAsia="黑体" w:hAnsi="Arial"/>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semiHidden/>
    <w:qFormat/>
    <w:pPr>
      <w:tabs>
        <w:tab w:val="center" w:pos="4153"/>
        <w:tab w:val="right" w:pos="8306"/>
      </w:tabs>
      <w:snapToGrid w:val="0"/>
      <w:jc w:val="left"/>
    </w:pPr>
    <w:rPr>
      <w:rFonts w:ascii="Calibri" w:hAnsi="Calibri"/>
      <w:sz w:val="18"/>
      <w:szCs w:val="18"/>
    </w:rPr>
  </w:style>
  <w:style w:type="paragraph" w:styleId="a5">
    <w:name w:val="header"/>
    <w:basedOn w:val="a"/>
    <w:link w:val="a6"/>
    <w:uiPriority w:val="99"/>
    <w:semiHidden/>
    <w:qFormat/>
    <w:pPr>
      <w:pBdr>
        <w:bottom w:val="single" w:sz="6" w:space="1" w:color="auto"/>
      </w:pBdr>
      <w:tabs>
        <w:tab w:val="center" w:pos="4153"/>
        <w:tab w:val="right" w:pos="8306"/>
      </w:tabs>
      <w:snapToGrid w:val="0"/>
      <w:jc w:val="center"/>
    </w:pPr>
    <w:rPr>
      <w:rFonts w:ascii="Calibri" w:hAnsi="Calibri"/>
      <w:sz w:val="18"/>
      <w:szCs w:val="18"/>
    </w:rPr>
  </w:style>
  <w:style w:type="paragraph" w:styleId="a7">
    <w:name w:val="Normal (Web)"/>
    <w:basedOn w:val="a"/>
    <w:next w:val="a"/>
    <w:qFormat/>
    <w:pPr>
      <w:widowControl/>
      <w:spacing w:before="100" w:beforeAutospacing="1" w:after="100" w:afterAutospacing="1"/>
      <w:jc w:val="left"/>
    </w:pPr>
    <w:rPr>
      <w:rFonts w:ascii="宋体" w:hAnsi="宋体" w:cs="宋体"/>
      <w:kern w:val="0"/>
      <w:sz w:val="24"/>
      <w:szCs w:val="24"/>
    </w:rPr>
  </w:style>
  <w:style w:type="character" w:styleId="a8">
    <w:name w:val="page number"/>
    <w:basedOn w:val="a0"/>
    <w:uiPriority w:val="99"/>
    <w:qFormat/>
    <w:rPr>
      <w:rFonts w:cs="Times New Roman"/>
    </w:rPr>
  </w:style>
  <w:style w:type="character" w:customStyle="1" w:styleId="30">
    <w:name w:val="标题 3 字符"/>
    <w:basedOn w:val="a0"/>
    <w:link w:val="3"/>
    <w:uiPriority w:val="99"/>
    <w:qFormat/>
    <w:locked/>
    <w:rPr>
      <w:rFonts w:ascii="Calibri" w:eastAsia="宋体" w:hAnsi="Calibri" w:cs="Calibri"/>
      <w:b/>
      <w:bCs/>
      <w:kern w:val="2"/>
      <w:sz w:val="32"/>
      <w:szCs w:val="32"/>
      <w:lang w:val="en-US" w:eastAsia="zh-CN" w:bidi="ar-SA"/>
    </w:rPr>
  </w:style>
  <w:style w:type="character" w:customStyle="1" w:styleId="a6">
    <w:name w:val="页眉 字符"/>
    <w:basedOn w:val="a0"/>
    <w:link w:val="a5"/>
    <w:uiPriority w:val="99"/>
    <w:semiHidden/>
    <w:qFormat/>
    <w:locked/>
    <w:rPr>
      <w:rFonts w:cs="Times New Roman"/>
      <w:sz w:val="18"/>
      <w:szCs w:val="18"/>
    </w:rPr>
  </w:style>
  <w:style w:type="character" w:customStyle="1" w:styleId="a4">
    <w:name w:val="页脚 字符"/>
    <w:basedOn w:val="a0"/>
    <w:link w:val="a3"/>
    <w:uiPriority w:val="99"/>
    <w:semiHidden/>
    <w:qFormat/>
    <w:locked/>
    <w:rPr>
      <w:rFonts w:cs="Times New Roman"/>
      <w:sz w:val="18"/>
      <w:szCs w:val="18"/>
    </w:rPr>
  </w:style>
  <w:style w:type="paragraph" w:styleId="a9">
    <w:name w:val="List Paragraph"/>
    <w:basedOn w:val="a"/>
    <w:uiPriority w:val="99"/>
    <w:qFormat/>
    <w:pPr>
      <w:ind w:firstLineChars="200" w:firstLine="420"/>
    </w:pPr>
    <w:rPr>
      <w:rFonts w:ascii="Calibri" w:hAnsi="Calibri" w:cs="Calibri"/>
      <w:szCs w:val="21"/>
    </w:rPr>
  </w:style>
  <w:style w:type="character" w:customStyle="1" w:styleId="apple-converted-space">
    <w:name w:val="apple-converted-space"/>
    <w:basedOn w:val="a0"/>
    <w:uiPriority w:val="99"/>
    <w:qFormat/>
    <w:rPr>
      <w:rFonts w:cs="Times New Roman"/>
    </w:rPr>
  </w:style>
  <w:style w:type="character" w:customStyle="1" w:styleId="15">
    <w:name w:val="15"/>
    <w:basedOn w:val="a0"/>
    <w:uiPriority w:val="99"/>
    <w:qFormat/>
    <w:rPr>
      <w:rFonts w:ascii="Times New Roman" w:eastAsia="宋体" w:hAnsi="Times New Roman" w:cs="Times New Roman"/>
      <w:kern w:val="2"/>
      <w:sz w:val="21"/>
      <w:szCs w:val="21"/>
    </w:rPr>
  </w:style>
  <w:style w:type="character" w:customStyle="1" w:styleId="16">
    <w:name w:val="16"/>
    <w:basedOn w:val="a0"/>
    <w:uiPriority w:val="99"/>
    <w:qFormat/>
    <w:rPr>
      <w:rFonts w:ascii="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21</Pages>
  <Words>1850</Words>
  <Characters>10550</Characters>
  <Application>Microsoft Office Word</Application>
  <DocSecurity>0</DocSecurity>
  <Lines>87</Lines>
  <Paragraphs>24</Paragraphs>
  <ScaleCrop>false</ScaleCrop>
  <Company>微软中国</Company>
  <LinksUpToDate>false</LinksUpToDate>
  <CharactersWithSpaces>12376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汤 备亮</cp:lastModifiedBy>
  <cp:revision>92</cp:revision>
  <cp:lastPrinted>2021-03-24T00:43:00Z</cp:lastPrinted>
  <dcterms:created xsi:type="dcterms:W3CDTF">2018-04-11T02:42:00Z</dcterms:created>
  <dcterms:modified xsi:type="dcterms:W3CDTF">2022-09-05T10:11:00Z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DB75F0A0CE7A4F3AB2A7D6C063052B11</vt:lpwstr>
  </property>
</Properties>
</file>